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A4" w:rsidRPr="00780BBC" w:rsidRDefault="00780BBC" w:rsidP="00741FB8">
      <w:pPr>
        <w:spacing w:after="0" w:line="240" w:lineRule="auto"/>
        <w:ind w:left="-284" w:right="-330"/>
        <w:rPr>
          <w:b/>
          <w:color w:val="007491"/>
          <w:sz w:val="28"/>
          <w:szCs w:val="30"/>
        </w:rPr>
      </w:pPr>
      <w:proofErr w:type="spellStart"/>
      <w:r w:rsidRPr="00780BBC">
        <w:rPr>
          <w:b/>
          <w:color w:val="007491"/>
          <w:sz w:val="28"/>
          <w:szCs w:val="30"/>
        </w:rPr>
        <w:t>Homeloan</w:t>
      </w:r>
      <w:proofErr w:type="spellEnd"/>
      <w:r w:rsidRPr="00780BBC">
        <w:rPr>
          <w:b/>
          <w:color w:val="007491"/>
          <w:sz w:val="28"/>
          <w:szCs w:val="30"/>
        </w:rPr>
        <w:t xml:space="preserve"> Choices Bulletin</w:t>
      </w:r>
    </w:p>
    <w:p w:rsidR="00A5223C" w:rsidRPr="004F652C" w:rsidRDefault="006472AC" w:rsidP="00741FB8">
      <w:pPr>
        <w:spacing w:after="0" w:line="240" w:lineRule="auto"/>
        <w:ind w:left="-284" w:right="-330"/>
        <w:rPr>
          <w:b/>
          <w:color w:val="007491"/>
        </w:rPr>
      </w:pPr>
      <w:r>
        <w:rPr>
          <w:b/>
          <w:color w:val="007491"/>
        </w:rPr>
        <w:t>Vol 12</w:t>
      </w:r>
      <w:r w:rsidR="00446922">
        <w:rPr>
          <w:b/>
          <w:color w:val="007491"/>
        </w:rPr>
        <w:t>2</w:t>
      </w:r>
      <w:r w:rsidR="00780BBC" w:rsidRPr="004F652C">
        <w:rPr>
          <w:b/>
          <w:color w:val="007491"/>
        </w:rPr>
        <w:t xml:space="preserve"> </w:t>
      </w:r>
      <w:r w:rsidR="00A5223C">
        <w:rPr>
          <w:b/>
          <w:color w:val="007491"/>
        </w:rPr>
        <w:t>–</w:t>
      </w:r>
      <w:r w:rsidR="005350C7">
        <w:rPr>
          <w:b/>
          <w:color w:val="007491"/>
        </w:rPr>
        <w:t xml:space="preserve"> </w:t>
      </w:r>
      <w:r w:rsidR="00446922">
        <w:rPr>
          <w:b/>
          <w:color w:val="007491"/>
        </w:rPr>
        <w:t>January</w:t>
      </w:r>
    </w:p>
    <w:p w:rsidR="00DA1793" w:rsidRDefault="00DA1793" w:rsidP="00741FB8">
      <w:pPr>
        <w:spacing w:after="0" w:line="240" w:lineRule="auto"/>
        <w:ind w:left="-284" w:right="-330"/>
        <w:rPr>
          <w:b/>
          <w:color w:val="007491"/>
          <w:sz w:val="14"/>
        </w:rPr>
      </w:pPr>
    </w:p>
    <w:p w:rsidR="003A0655" w:rsidRDefault="003A0655" w:rsidP="00741FB8">
      <w:pPr>
        <w:spacing w:after="0" w:line="240" w:lineRule="auto"/>
        <w:ind w:left="-284" w:right="-330"/>
        <w:rPr>
          <w:b/>
          <w:color w:val="007491"/>
          <w:sz w:val="14"/>
        </w:rPr>
      </w:pPr>
    </w:p>
    <w:p w:rsidR="003A0655" w:rsidRDefault="003A0655" w:rsidP="00741FB8">
      <w:pPr>
        <w:spacing w:after="0" w:line="240" w:lineRule="auto"/>
        <w:ind w:left="-284" w:right="-330"/>
        <w:rPr>
          <w:b/>
          <w:color w:val="007491"/>
          <w:sz w:val="14"/>
        </w:rPr>
      </w:pPr>
    </w:p>
    <w:p w:rsidR="002175E8" w:rsidRPr="00225AE9" w:rsidRDefault="00181F88" w:rsidP="00DC60B9">
      <w:pPr>
        <w:spacing w:after="0" w:line="240" w:lineRule="auto"/>
        <w:ind w:left="-284" w:right="-330"/>
        <w:jc w:val="center"/>
        <w:rPr>
          <w:b/>
          <w:color w:val="007491"/>
          <w:sz w:val="42"/>
          <w:szCs w:val="42"/>
        </w:rPr>
      </w:pPr>
      <w:r>
        <w:rPr>
          <w:b/>
          <w:color w:val="007491"/>
          <w:sz w:val="42"/>
          <w:szCs w:val="42"/>
        </w:rPr>
        <w:t>Fixed rate demand surges again</w:t>
      </w:r>
    </w:p>
    <w:p w:rsidR="00C105EC" w:rsidRPr="00225AE9" w:rsidRDefault="00C105EC" w:rsidP="00DC60B9">
      <w:pPr>
        <w:tabs>
          <w:tab w:val="left" w:pos="8040"/>
        </w:tabs>
        <w:spacing w:after="0"/>
        <w:ind w:left="-284" w:right="-330"/>
        <w:jc w:val="both"/>
        <w:rPr>
          <w:rFonts w:cs="Calibri"/>
          <w:sz w:val="16"/>
        </w:rPr>
      </w:pPr>
    </w:p>
    <w:p w:rsidR="0027518D" w:rsidRDefault="00181F88" w:rsidP="0027518D">
      <w:pPr>
        <w:tabs>
          <w:tab w:val="left" w:pos="8040"/>
        </w:tabs>
        <w:spacing w:after="0"/>
        <w:ind w:left="-284" w:right="-330"/>
        <w:jc w:val="both"/>
        <w:rPr>
          <w:rFonts w:cs="Calibri"/>
        </w:rPr>
      </w:pPr>
      <w:r>
        <w:rPr>
          <w:rFonts w:cs="Calibri"/>
        </w:rPr>
        <w:t>New data has found a growing proportion of borrowers are seeking the security that comes with</w:t>
      </w:r>
      <w:r w:rsidR="007A64EA">
        <w:rPr>
          <w:rFonts w:cs="Calibri"/>
        </w:rPr>
        <w:t xml:space="preserve"> a</w:t>
      </w:r>
      <w:r>
        <w:rPr>
          <w:rFonts w:cs="Calibri"/>
        </w:rPr>
        <w:t xml:space="preserve"> fixed rate home loan.  </w:t>
      </w:r>
    </w:p>
    <w:p w:rsidR="00181F88" w:rsidRDefault="00181F88" w:rsidP="0027518D">
      <w:pPr>
        <w:tabs>
          <w:tab w:val="left" w:pos="8040"/>
        </w:tabs>
        <w:spacing w:after="0"/>
        <w:ind w:left="-284" w:right="-330"/>
        <w:jc w:val="both"/>
        <w:rPr>
          <w:rFonts w:cs="Calibri"/>
        </w:rPr>
      </w:pPr>
    </w:p>
    <w:p w:rsidR="006472AC" w:rsidRDefault="001B5C83" w:rsidP="001B5C83">
      <w:pPr>
        <w:tabs>
          <w:tab w:val="left" w:pos="8040"/>
        </w:tabs>
        <w:spacing w:after="0"/>
        <w:ind w:left="-284" w:right="-330"/>
        <w:jc w:val="both"/>
        <w:rPr>
          <w:rFonts w:cs="Calibri"/>
        </w:rPr>
      </w:pPr>
      <w:r w:rsidRPr="00225AE9">
        <w:rPr>
          <w:rFonts w:cs="Calibri"/>
        </w:rPr>
        <w:t>According to the latest national home loan approv</w:t>
      </w:r>
      <w:r w:rsidR="00C665AD" w:rsidRPr="00225AE9">
        <w:rPr>
          <w:rFonts w:cs="Calibri"/>
        </w:rPr>
        <w:t xml:space="preserve">al data from Mortgage Choice, </w:t>
      </w:r>
      <w:r w:rsidR="000278D5">
        <w:rPr>
          <w:rFonts w:cs="Calibri"/>
        </w:rPr>
        <w:t xml:space="preserve">fixed rate home loans accounted for </w:t>
      </w:r>
      <w:r w:rsidR="00181F88">
        <w:rPr>
          <w:rFonts w:cs="Calibri"/>
        </w:rPr>
        <w:t>22.04</w:t>
      </w:r>
      <w:r w:rsidR="000278D5">
        <w:rPr>
          <w:rFonts w:cs="Calibri"/>
        </w:rPr>
        <w:t>%</w:t>
      </w:r>
      <w:r w:rsidRPr="00225AE9">
        <w:rPr>
          <w:rFonts w:cs="Calibri"/>
        </w:rPr>
        <w:t xml:space="preserve"> of all l</w:t>
      </w:r>
      <w:r w:rsidR="009F1588" w:rsidRPr="00225AE9">
        <w:rPr>
          <w:rFonts w:cs="Calibri"/>
        </w:rPr>
        <w:t xml:space="preserve">oans written in </w:t>
      </w:r>
      <w:r w:rsidR="00181F88">
        <w:rPr>
          <w:rFonts w:cs="Calibri"/>
        </w:rPr>
        <w:t>December, up from 19.51</w:t>
      </w:r>
      <w:r w:rsidR="006472AC">
        <w:rPr>
          <w:rFonts w:cs="Calibri"/>
        </w:rPr>
        <w:t xml:space="preserve">% in the month prior. </w:t>
      </w:r>
    </w:p>
    <w:p w:rsidR="006F61A2" w:rsidRPr="00225AE9" w:rsidRDefault="006F61A2" w:rsidP="001B5C83">
      <w:pPr>
        <w:tabs>
          <w:tab w:val="left" w:pos="8040"/>
        </w:tabs>
        <w:spacing w:after="0"/>
        <w:ind w:left="-284" w:right="-330"/>
        <w:jc w:val="both"/>
        <w:rPr>
          <w:rFonts w:cs="Calibri"/>
        </w:rPr>
      </w:pPr>
    </w:p>
    <w:p w:rsidR="00181F88" w:rsidRDefault="00181F88" w:rsidP="006F61A2">
      <w:pPr>
        <w:tabs>
          <w:tab w:val="left" w:pos="8040"/>
        </w:tabs>
        <w:spacing w:after="0"/>
        <w:ind w:left="-284" w:right="-330"/>
        <w:jc w:val="both"/>
        <w:rPr>
          <w:rFonts w:cs="Calibri"/>
        </w:rPr>
      </w:pPr>
      <w:r>
        <w:rPr>
          <w:rFonts w:cs="Calibri"/>
        </w:rPr>
        <w:t xml:space="preserve">“This is the fourth consecutive month that we have seen fixed rate demand increase,” Mortgage Choice chief executive officer John Flavell said. </w:t>
      </w:r>
    </w:p>
    <w:p w:rsidR="00181F88" w:rsidRDefault="00181F88" w:rsidP="006F61A2">
      <w:pPr>
        <w:tabs>
          <w:tab w:val="left" w:pos="8040"/>
        </w:tabs>
        <w:spacing w:after="0"/>
        <w:ind w:left="-284" w:right="-330"/>
        <w:jc w:val="both"/>
        <w:rPr>
          <w:rFonts w:cs="Calibri"/>
        </w:rPr>
      </w:pPr>
    </w:p>
    <w:p w:rsidR="00181F88" w:rsidRDefault="00181F88" w:rsidP="006F61A2">
      <w:pPr>
        <w:tabs>
          <w:tab w:val="left" w:pos="8040"/>
        </w:tabs>
        <w:spacing w:after="0"/>
        <w:ind w:left="-284" w:right="-330"/>
        <w:jc w:val="both"/>
        <w:rPr>
          <w:rFonts w:cs="Calibri"/>
        </w:rPr>
      </w:pPr>
      <w:r>
        <w:rPr>
          <w:rFonts w:cs="Calibri"/>
        </w:rPr>
        <w:t>“With speculation mounting that the Reserve Bank of Australia could soon lift the official cash rate, it is clear that a growing proportion of borrowers wish to beat any potential rate hikes by opting for a fixed rate home loan.”</w:t>
      </w:r>
    </w:p>
    <w:p w:rsidR="00181F88" w:rsidRDefault="00181F88" w:rsidP="006F61A2">
      <w:pPr>
        <w:tabs>
          <w:tab w:val="left" w:pos="8040"/>
        </w:tabs>
        <w:spacing w:after="0"/>
        <w:ind w:left="-284" w:right="-330"/>
        <w:jc w:val="both"/>
        <w:rPr>
          <w:rFonts w:cs="Calibri"/>
        </w:rPr>
      </w:pPr>
    </w:p>
    <w:p w:rsidR="00181F88" w:rsidRDefault="00181F88" w:rsidP="00181F88">
      <w:pPr>
        <w:tabs>
          <w:tab w:val="left" w:pos="8040"/>
        </w:tabs>
        <w:spacing w:after="0"/>
        <w:ind w:left="-284" w:right="-330"/>
        <w:jc w:val="both"/>
        <w:rPr>
          <w:rFonts w:cs="Calibri"/>
        </w:rPr>
      </w:pPr>
      <w:r>
        <w:rPr>
          <w:rFonts w:cs="Calibri"/>
        </w:rPr>
        <w:t>Mr Flavell said current market conditions combined with a spate of rate increase</w:t>
      </w:r>
      <w:r w:rsidR="007A64EA">
        <w:rPr>
          <w:rFonts w:cs="Calibri"/>
        </w:rPr>
        <w:t>s</w:t>
      </w:r>
      <w:r>
        <w:rPr>
          <w:rFonts w:cs="Calibri"/>
        </w:rPr>
        <w:t xml:space="preserve"> by Australia’s lenders meant a rate rise by the Reserve Bank this year was now more likely than not. </w:t>
      </w:r>
    </w:p>
    <w:p w:rsidR="00181F88" w:rsidRDefault="00181F88" w:rsidP="00181F88">
      <w:pPr>
        <w:tabs>
          <w:tab w:val="left" w:pos="8040"/>
        </w:tabs>
        <w:spacing w:after="0"/>
        <w:ind w:left="-284" w:right="-330"/>
        <w:jc w:val="both"/>
        <w:rPr>
          <w:rFonts w:cs="Calibri"/>
        </w:rPr>
      </w:pPr>
    </w:p>
    <w:p w:rsidR="00181F88" w:rsidRPr="00181F88" w:rsidRDefault="00181F88" w:rsidP="00181F88">
      <w:pPr>
        <w:tabs>
          <w:tab w:val="left" w:pos="8040"/>
        </w:tabs>
        <w:spacing w:after="0"/>
        <w:ind w:left="-284" w:right="-330"/>
        <w:jc w:val="both"/>
        <w:rPr>
          <w:rFonts w:cs="Calibri"/>
        </w:rPr>
      </w:pPr>
      <w:r>
        <w:rPr>
          <w:rFonts w:cs="Calibri"/>
        </w:rPr>
        <w:t xml:space="preserve">“In December, </w:t>
      </w:r>
      <w:r w:rsidRPr="00181F88">
        <w:rPr>
          <w:rFonts w:cs="Calibri"/>
        </w:rPr>
        <w:t>the</w:t>
      </w:r>
      <w:r>
        <w:rPr>
          <w:rFonts w:cs="Calibri"/>
        </w:rPr>
        <w:t xml:space="preserve"> United States</w:t>
      </w:r>
      <w:r w:rsidR="007A64EA">
        <w:rPr>
          <w:rFonts w:cs="Calibri"/>
        </w:rPr>
        <w:t>’</w:t>
      </w:r>
      <w:bookmarkStart w:id="0" w:name="_GoBack"/>
      <w:bookmarkEnd w:id="0"/>
      <w:r w:rsidRPr="00181F88">
        <w:rPr>
          <w:rFonts w:cs="Calibri"/>
        </w:rPr>
        <w:t xml:space="preserve"> Central Bank </w:t>
      </w:r>
      <w:r>
        <w:rPr>
          <w:rFonts w:cs="Calibri"/>
        </w:rPr>
        <w:t xml:space="preserve">announced it would increase the </w:t>
      </w:r>
      <w:r w:rsidRPr="00181F88">
        <w:rPr>
          <w:rFonts w:cs="Calibri"/>
        </w:rPr>
        <w:t>Federal Funds rat</w:t>
      </w:r>
      <w:r>
        <w:rPr>
          <w:rFonts w:cs="Calibri"/>
        </w:rPr>
        <w:t>e by 25 basis points to 0.75%. Furthermore, the b</w:t>
      </w:r>
      <w:r w:rsidRPr="00181F88">
        <w:rPr>
          <w:rFonts w:cs="Calibri"/>
        </w:rPr>
        <w:t xml:space="preserve">ank indicated that the Federal Funds rate could rise by a further 75 basis points throughout 2017 – through three separate rate increases. </w:t>
      </w:r>
    </w:p>
    <w:p w:rsidR="00181F88" w:rsidRPr="00181F88" w:rsidRDefault="00181F88" w:rsidP="00181F88">
      <w:pPr>
        <w:tabs>
          <w:tab w:val="left" w:pos="8040"/>
        </w:tabs>
        <w:spacing w:after="0"/>
        <w:ind w:left="-284" w:right="-330"/>
        <w:jc w:val="both"/>
        <w:rPr>
          <w:rFonts w:cs="Calibri"/>
        </w:rPr>
      </w:pPr>
    </w:p>
    <w:p w:rsidR="00181F88" w:rsidRDefault="00181F88" w:rsidP="00181F88">
      <w:pPr>
        <w:tabs>
          <w:tab w:val="left" w:pos="8040"/>
        </w:tabs>
        <w:spacing w:after="0"/>
        <w:ind w:left="-284" w:right="-330"/>
        <w:jc w:val="both"/>
        <w:rPr>
          <w:rFonts w:cs="Calibri"/>
        </w:rPr>
      </w:pPr>
      <w:r w:rsidRPr="00181F88">
        <w:rPr>
          <w:rFonts w:cs="Calibri"/>
        </w:rPr>
        <w:t>“</w:t>
      </w:r>
      <w:r>
        <w:rPr>
          <w:rFonts w:cs="Calibri"/>
        </w:rPr>
        <w:t>Closer to home, many of Australia’s lenders have already started to</w:t>
      </w:r>
      <w:r w:rsidRPr="00181F88">
        <w:rPr>
          <w:rFonts w:cs="Calibri"/>
        </w:rPr>
        <w:t xml:space="preserve"> raise rates across their suite of home loan products</w:t>
      </w:r>
      <w:r>
        <w:rPr>
          <w:rFonts w:cs="Calibri"/>
        </w:rPr>
        <w:t>. In addition, the Reserve Bank of Australia has stated that the time for easing the monetary policy setting has now passed. All of these factors combined would suggest that a rate increase by the Reserve Bank could be right around the corner.</w:t>
      </w:r>
    </w:p>
    <w:p w:rsidR="00181F88" w:rsidRDefault="00181F88" w:rsidP="00181F88">
      <w:pPr>
        <w:tabs>
          <w:tab w:val="left" w:pos="8040"/>
        </w:tabs>
        <w:spacing w:after="0"/>
        <w:ind w:left="-284" w:right="-330"/>
        <w:jc w:val="both"/>
        <w:rPr>
          <w:rFonts w:cs="Calibri"/>
        </w:rPr>
      </w:pPr>
    </w:p>
    <w:p w:rsidR="00181F88" w:rsidRPr="00181F88" w:rsidRDefault="00181F88" w:rsidP="00181F88">
      <w:pPr>
        <w:tabs>
          <w:tab w:val="left" w:pos="8040"/>
        </w:tabs>
        <w:spacing w:after="0"/>
        <w:ind w:left="-284" w:right="-330"/>
        <w:jc w:val="both"/>
        <w:rPr>
          <w:rFonts w:cs="Calibri"/>
        </w:rPr>
      </w:pPr>
      <w:r>
        <w:rPr>
          <w:rFonts w:cs="Calibri"/>
        </w:rPr>
        <w:t>“Borrowers understand this and that is why a growing proportion of mortgage holders are opting for fixed rate products.”</w:t>
      </w:r>
    </w:p>
    <w:p w:rsidR="00181F88" w:rsidRDefault="00181F88" w:rsidP="006F61A2">
      <w:pPr>
        <w:tabs>
          <w:tab w:val="left" w:pos="8040"/>
        </w:tabs>
        <w:spacing w:after="0"/>
        <w:ind w:left="-284" w:right="-330"/>
        <w:jc w:val="both"/>
        <w:rPr>
          <w:rFonts w:cs="Calibri"/>
        </w:rPr>
      </w:pPr>
    </w:p>
    <w:p w:rsidR="006472AC" w:rsidRDefault="00181F88" w:rsidP="006472AC">
      <w:pPr>
        <w:tabs>
          <w:tab w:val="left" w:pos="8040"/>
        </w:tabs>
        <w:spacing w:after="0"/>
        <w:ind w:left="-284" w:right="-330"/>
        <w:jc w:val="both"/>
        <w:rPr>
          <w:rFonts w:cs="Calibri"/>
        </w:rPr>
      </w:pPr>
      <w:r>
        <w:rPr>
          <w:rFonts w:cs="Calibri"/>
        </w:rPr>
        <w:t xml:space="preserve">Across the country, fixed rate demand was highest in New South Wales, with this type of product accounting for 27.34% of all loans written throughout the month of December. </w:t>
      </w:r>
    </w:p>
    <w:p w:rsidR="00181F88" w:rsidRDefault="00181F88" w:rsidP="006472AC">
      <w:pPr>
        <w:tabs>
          <w:tab w:val="left" w:pos="8040"/>
        </w:tabs>
        <w:spacing w:after="0"/>
        <w:ind w:left="-284" w:right="-330"/>
        <w:jc w:val="both"/>
        <w:rPr>
          <w:rFonts w:cs="Calibri"/>
        </w:rPr>
      </w:pPr>
    </w:p>
    <w:p w:rsidR="00DF4F5C" w:rsidRDefault="00181F88" w:rsidP="00DF4F5C">
      <w:pPr>
        <w:tabs>
          <w:tab w:val="left" w:pos="8040"/>
        </w:tabs>
        <w:spacing w:after="0"/>
        <w:ind w:left="-284" w:right="-330"/>
        <w:jc w:val="both"/>
        <w:rPr>
          <w:rFonts w:cs="Calibri"/>
        </w:rPr>
      </w:pPr>
      <w:r>
        <w:rPr>
          <w:rFonts w:cs="Calibri"/>
        </w:rPr>
        <w:t xml:space="preserve">“Queensland wasn’t far behind, with fixed rate home loans accounting for 24.64% of all loans written within the state. At </w:t>
      </w:r>
      <w:r w:rsidR="00DF4F5C">
        <w:rPr>
          <w:rFonts w:cs="Calibri"/>
        </w:rPr>
        <w:t xml:space="preserve">the other end of the spectrum, fixed rate demand was lowest in Victoria, with this type of product making up just 12.69% of all home loans written,” he said. </w:t>
      </w:r>
    </w:p>
    <w:p w:rsidR="00DF4F5C" w:rsidRDefault="00DF4F5C" w:rsidP="00DF4F5C">
      <w:pPr>
        <w:tabs>
          <w:tab w:val="left" w:pos="8040"/>
        </w:tabs>
        <w:spacing w:after="0"/>
        <w:ind w:left="-284" w:right="-330"/>
        <w:jc w:val="both"/>
        <w:rPr>
          <w:rFonts w:cs="Calibri"/>
        </w:rPr>
      </w:pPr>
    </w:p>
    <w:p w:rsidR="00DF4F5C" w:rsidRDefault="00DF4F5C" w:rsidP="00DF4F5C">
      <w:pPr>
        <w:tabs>
          <w:tab w:val="left" w:pos="8040"/>
        </w:tabs>
        <w:spacing w:after="0"/>
        <w:ind w:left="-284" w:right="-330"/>
        <w:jc w:val="both"/>
        <w:rPr>
          <w:rFonts w:cs="Calibri"/>
        </w:rPr>
      </w:pPr>
      <w:r>
        <w:rPr>
          <w:rFonts w:cs="Calibri"/>
        </w:rPr>
        <w:t>“Looking ahead, I wouldn’t be surprised to see fixed rate demand continue to rise across most of the states as a growing proportion of borrowers look to beat the threat of rising rates.”</w:t>
      </w:r>
    </w:p>
    <w:p w:rsidR="00DF4F5C" w:rsidRDefault="00DF4F5C" w:rsidP="00DF4F5C">
      <w:pPr>
        <w:tabs>
          <w:tab w:val="left" w:pos="8040"/>
        </w:tabs>
        <w:spacing w:after="0"/>
        <w:ind w:left="-284" w:right="-330"/>
        <w:jc w:val="both"/>
        <w:rPr>
          <w:rFonts w:cs="Calibri"/>
        </w:rPr>
      </w:pPr>
    </w:p>
    <w:p w:rsidR="00F119D7" w:rsidRDefault="000A79B9" w:rsidP="00DC60B9">
      <w:pPr>
        <w:tabs>
          <w:tab w:val="left" w:pos="8040"/>
        </w:tabs>
        <w:spacing w:after="0"/>
        <w:ind w:left="-284" w:right="-330"/>
        <w:jc w:val="both"/>
        <w:rPr>
          <w:rFonts w:cs="Calibri"/>
        </w:rPr>
      </w:pPr>
      <w:r>
        <w:rPr>
          <w:rFonts w:cs="Calibri"/>
        </w:rPr>
        <w:lastRenderedPageBreak/>
        <w:t>F</w:t>
      </w:r>
      <w:r w:rsidR="00DC60B9">
        <w:rPr>
          <w:rFonts w:cs="Calibri"/>
        </w:rPr>
        <w:t xml:space="preserve">or archived copies of the </w:t>
      </w:r>
      <w:proofErr w:type="spellStart"/>
      <w:r w:rsidR="00DC60B9">
        <w:rPr>
          <w:rFonts w:cs="Calibri"/>
        </w:rPr>
        <w:t>Homeloan</w:t>
      </w:r>
      <w:proofErr w:type="spellEnd"/>
      <w:r w:rsidR="00DC60B9">
        <w:rPr>
          <w:rFonts w:cs="Calibri"/>
        </w:rPr>
        <w:t xml:space="preserve"> Choices bulletin, please refer to </w:t>
      </w:r>
      <w:hyperlink r:id="rId7" w:history="1">
        <w:r w:rsidR="00DC60B9" w:rsidRPr="00D617F3">
          <w:rPr>
            <w:rStyle w:val="Hyperlink"/>
            <w:rFonts w:cs="Calibri"/>
          </w:rPr>
          <w:t>http://www.mortgagechoice.com.au/about-us/homeloan-choices-newsletter</w:t>
        </w:r>
      </w:hyperlink>
      <w:r w:rsidR="00DC60B9">
        <w:rPr>
          <w:rFonts w:cs="Calibri"/>
        </w:rPr>
        <w:t xml:space="preserve">. </w:t>
      </w:r>
    </w:p>
    <w:p w:rsidR="005315CC" w:rsidRDefault="005315CC" w:rsidP="00946ADF">
      <w:pPr>
        <w:tabs>
          <w:tab w:val="left" w:pos="8040"/>
        </w:tabs>
        <w:spacing w:after="0"/>
        <w:ind w:left="284" w:right="-330"/>
        <w:jc w:val="both"/>
        <w:rPr>
          <w:rFonts w:cs="Calibri"/>
        </w:rPr>
      </w:pPr>
    </w:p>
    <w:p w:rsidR="00946ADF" w:rsidRDefault="00DF4F5C" w:rsidP="00946ADF">
      <w:pPr>
        <w:tabs>
          <w:tab w:val="left" w:pos="8040"/>
        </w:tabs>
        <w:spacing w:after="0"/>
        <w:ind w:left="284" w:right="-330"/>
        <w:jc w:val="both"/>
        <w:rPr>
          <w:rFonts w:cs="Calibri"/>
        </w:rPr>
      </w:pPr>
      <w:r>
        <w:rPr>
          <w:rFonts w:cs="Calibri"/>
          <w:noProof/>
          <w:lang w:eastAsia="en-AU"/>
        </w:rPr>
        <w:drawing>
          <wp:inline distT="0" distB="0" distL="0" distR="0">
            <wp:extent cx="5731510" cy="2082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1-05_16-55-18.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082165"/>
                    </a:xfrm>
                    <a:prstGeom prst="rect">
                      <a:avLst/>
                    </a:prstGeom>
                  </pic:spPr>
                </pic:pic>
              </a:graphicData>
            </a:graphic>
          </wp:inline>
        </w:drawing>
      </w:r>
    </w:p>
    <w:p w:rsidR="00946ADF" w:rsidRDefault="00946ADF" w:rsidP="00A34766">
      <w:pPr>
        <w:tabs>
          <w:tab w:val="left" w:pos="8040"/>
        </w:tabs>
        <w:spacing w:after="0"/>
        <w:ind w:right="-330"/>
        <w:jc w:val="both"/>
        <w:rPr>
          <w:rFonts w:cs="Calibri"/>
        </w:rPr>
      </w:pPr>
    </w:p>
    <w:p w:rsidR="0019709E" w:rsidRPr="00A34766" w:rsidRDefault="0019709E" w:rsidP="00A34766">
      <w:pPr>
        <w:tabs>
          <w:tab w:val="left" w:pos="8040"/>
        </w:tabs>
        <w:spacing w:after="0"/>
        <w:ind w:right="-330"/>
        <w:jc w:val="both"/>
        <w:rPr>
          <w:rFonts w:cs="Calibri"/>
        </w:rPr>
      </w:pPr>
    </w:p>
    <w:tbl>
      <w:tblPr>
        <w:tblpPr w:leftFromText="180" w:rightFromText="180" w:vertAnchor="text" w:horzAnchor="margin" w:tblpXSpec="center" w:tblpY="-54"/>
        <w:tblOverlap w:val="never"/>
        <w:tblW w:w="8055" w:type="dxa"/>
        <w:tblLook w:val="04A0" w:firstRow="1" w:lastRow="0" w:firstColumn="1" w:lastColumn="0" w:noHBand="0" w:noVBand="1"/>
      </w:tblPr>
      <w:tblGrid>
        <w:gridCol w:w="2010"/>
        <w:gridCol w:w="289"/>
        <w:gridCol w:w="829"/>
        <w:gridCol w:w="289"/>
        <w:gridCol w:w="915"/>
        <w:gridCol w:w="289"/>
        <w:gridCol w:w="904"/>
        <w:gridCol w:w="289"/>
        <w:gridCol w:w="904"/>
        <w:gridCol w:w="289"/>
        <w:gridCol w:w="1048"/>
      </w:tblGrid>
      <w:tr w:rsidR="00A34766" w:rsidRPr="0048632F" w:rsidTr="000A79B9">
        <w:trPr>
          <w:trHeight w:val="440"/>
        </w:trPr>
        <w:tc>
          <w:tcPr>
            <w:tcW w:w="2010" w:type="dxa"/>
            <w:shd w:val="clear" w:color="auto" w:fill="auto"/>
            <w:noWrap/>
            <w:vAlign w:val="center"/>
            <w:hideMark/>
          </w:tcPr>
          <w:p w:rsidR="00A34766" w:rsidRDefault="00A34766" w:rsidP="00A34766">
            <w:pPr>
              <w:spacing w:after="0" w:line="240" w:lineRule="auto"/>
              <w:ind w:left="-142" w:right="-88"/>
              <w:rPr>
                <w:rFonts w:ascii="Arial" w:eastAsia="Times New Roman" w:hAnsi="Arial" w:cs="Arial"/>
                <w:b/>
                <w:bCs/>
                <w:sz w:val="20"/>
                <w:szCs w:val="16"/>
                <w:lang w:val="en-US"/>
              </w:rPr>
            </w:pPr>
          </w:p>
          <w:p w:rsidR="00A34766" w:rsidRPr="0048632F" w:rsidRDefault="00A34766" w:rsidP="00A34766">
            <w:pPr>
              <w:spacing w:after="0" w:line="240" w:lineRule="auto"/>
              <w:ind w:right="-88"/>
              <w:rPr>
                <w:rFonts w:ascii="Arial" w:eastAsia="Times New Roman" w:hAnsi="Arial" w:cs="Arial"/>
                <w:b/>
                <w:bCs/>
                <w:sz w:val="20"/>
                <w:szCs w:val="16"/>
                <w:lang w:val="en-US"/>
              </w:rPr>
            </w:pPr>
          </w:p>
        </w:tc>
        <w:tc>
          <w:tcPr>
            <w:tcW w:w="1118"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NSW/ACT</w:t>
            </w:r>
          </w:p>
        </w:tc>
        <w:tc>
          <w:tcPr>
            <w:tcW w:w="1204"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VIC/TAS</w:t>
            </w:r>
          </w:p>
        </w:tc>
        <w:tc>
          <w:tcPr>
            <w:tcW w:w="1193"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QLD</w:t>
            </w:r>
          </w:p>
        </w:tc>
        <w:tc>
          <w:tcPr>
            <w:tcW w:w="1193" w:type="dxa"/>
            <w:gridSpan w:val="2"/>
            <w:shd w:val="clear" w:color="000000" w:fill="006784"/>
            <w:noWrap/>
            <w:vAlign w:val="center"/>
            <w:hideMark/>
          </w:tcPr>
          <w:p w:rsidR="00A34766" w:rsidRPr="0048632F" w:rsidRDefault="00A34766" w:rsidP="00A34766">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SA/NT</w:t>
            </w:r>
          </w:p>
        </w:tc>
        <w:tc>
          <w:tcPr>
            <w:tcW w:w="1337" w:type="dxa"/>
            <w:gridSpan w:val="2"/>
            <w:shd w:val="clear" w:color="000000" w:fill="006784"/>
            <w:noWrap/>
            <w:vAlign w:val="center"/>
            <w:hideMark/>
          </w:tcPr>
          <w:p w:rsidR="00A34766" w:rsidRPr="0048632F" w:rsidRDefault="00A34766" w:rsidP="00A34766">
            <w:pPr>
              <w:spacing w:after="0" w:line="240" w:lineRule="auto"/>
              <w:ind w:left="-142" w:right="-88"/>
              <w:jc w:val="center"/>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WA</w:t>
            </w:r>
          </w:p>
        </w:tc>
      </w:tr>
      <w:tr w:rsidR="00A34766" w:rsidRPr="00676CB8" w:rsidTr="000A79B9">
        <w:trPr>
          <w:trHeight w:val="440"/>
        </w:trPr>
        <w:tc>
          <w:tcPr>
            <w:tcW w:w="2299" w:type="dxa"/>
            <w:gridSpan w:val="2"/>
            <w:shd w:val="clear" w:color="auto" w:fill="auto"/>
            <w:noWrap/>
            <w:vAlign w:val="bottom"/>
            <w:hideMark/>
          </w:tcPr>
          <w:p w:rsidR="00A34766" w:rsidRPr="00E372A9" w:rsidRDefault="00A34766" w:rsidP="00A34766">
            <w:pPr>
              <w:spacing w:after="0" w:line="240" w:lineRule="auto"/>
              <w:ind w:left="-142" w:right="-88"/>
              <w:rPr>
                <w:rFonts w:ascii="Arial" w:eastAsia="Times New Roman" w:hAnsi="Arial" w:cs="Arial"/>
                <w:b/>
                <w:bCs/>
                <w:sz w:val="20"/>
                <w:szCs w:val="16"/>
                <w:lang w:val="en-US"/>
              </w:rPr>
            </w:pPr>
            <w:r w:rsidRPr="00E372A9">
              <w:rPr>
                <w:rFonts w:ascii="Arial" w:eastAsia="Times New Roman" w:hAnsi="Arial" w:cs="Arial"/>
                <w:b/>
                <w:bCs/>
                <w:sz w:val="20"/>
                <w:szCs w:val="16"/>
                <w:lang w:val="en-US"/>
              </w:rPr>
              <w:t xml:space="preserve"> Variable</w:t>
            </w:r>
          </w:p>
        </w:tc>
        <w:tc>
          <w:tcPr>
            <w:tcW w:w="1118" w:type="dxa"/>
            <w:gridSpan w:val="2"/>
            <w:shd w:val="clear" w:color="auto" w:fill="auto"/>
            <w:noWrap/>
            <w:vAlign w:val="bottom"/>
            <w:hideMark/>
          </w:tcPr>
          <w:p w:rsidR="00A34766" w:rsidRPr="00E372A9" w:rsidRDefault="00DF4F5C" w:rsidP="00DF4F5C">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72.66</w:t>
            </w:r>
            <w:r w:rsidR="00A34766" w:rsidRPr="00E372A9">
              <w:rPr>
                <w:rFonts w:ascii="Arial" w:eastAsia="Times New Roman" w:hAnsi="Arial" w:cs="Arial"/>
                <w:b/>
                <w:bCs/>
                <w:sz w:val="20"/>
                <w:szCs w:val="16"/>
                <w:lang w:val="en-US"/>
              </w:rPr>
              <w:t>%</w:t>
            </w:r>
          </w:p>
        </w:tc>
        <w:tc>
          <w:tcPr>
            <w:tcW w:w="1204" w:type="dxa"/>
            <w:gridSpan w:val="2"/>
            <w:shd w:val="clear" w:color="auto" w:fill="auto"/>
            <w:noWrap/>
            <w:vAlign w:val="bottom"/>
            <w:hideMark/>
          </w:tcPr>
          <w:p w:rsidR="00A34766" w:rsidRPr="00E372A9" w:rsidRDefault="00DF4F5C" w:rsidP="00180EB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87.31</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DF4F5C" w:rsidP="00B80015">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75.36</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84.45</w:t>
            </w:r>
            <w:r w:rsidR="00A34766" w:rsidRPr="00E372A9">
              <w:rPr>
                <w:rFonts w:ascii="Arial" w:eastAsia="Times New Roman" w:hAnsi="Arial" w:cs="Arial"/>
                <w:b/>
                <w:bCs/>
                <w:sz w:val="20"/>
                <w:szCs w:val="16"/>
                <w:lang w:val="en-US"/>
              </w:rPr>
              <w:t>%</w:t>
            </w:r>
          </w:p>
        </w:tc>
        <w:tc>
          <w:tcPr>
            <w:tcW w:w="1048" w:type="dxa"/>
            <w:shd w:val="clear" w:color="auto" w:fill="auto"/>
            <w:noWrap/>
            <w:vAlign w:val="bottom"/>
            <w:hideMark/>
          </w:tcPr>
          <w:p w:rsidR="00A34766" w:rsidRPr="00E372A9" w:rsidRDefault="00DF4F5C"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83.91</w:t>
            </w:r>
            <w:r w:rsidR="009F3E49" w:rsidRPr="00E372A9">
              <w:rPr>
                <w:rFonts w:ascii="Arial" w:eastAsia="Times New Roman" w:hAnsi="Arial" w:cs="Arial"/>
                <w:b/>
                <w:bCs/>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Basic Variable</w:t>
            </w:r>
          </w:p>
        </w:tc>
        <w:tc>
          <w:tcPr>
            <w:tcW w:w="1118" w:type="dxa"/>
            <w:gridSpan w:val="2"/>
            <w:shd w:val="clear" w:color="auto" w:fill="auto"/>
            <w:noWrap/>
            <w:vAlign w:val="bottom"/>
            <w:hideMark/>
          </w:tcPr>
          <w:p w:rsidR="00A34766" w:rsidRPr="00E372A9" w:rsidRDefault="00DF4F5C" w:rsidP="006472AC">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9.76</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16.04</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25.14</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33.53</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DF4F5C" w:rsidP="003A0655">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15.66</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Standard Variable</w:t>
            </w:r>
          </w:p>
        </w:tc>
        <w:tc>
          <w:tcPr>
            <w:tcW w:w="1118"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10.74</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21.01</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7.17</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13.77</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13.42</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Ongoing Discount</w:t>
            </w:r>
          </w:p>
        </w:tc>
        <w:tc>
          <w:tcPr>
            <w:tcW w:w="1118"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46.96</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DF4F5C" w:rsidP="00C9604F">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43.43</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36.61</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32.59</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51.52</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Line of Credit</w:t>
            </w:r>
          </w:p>
        </w:tc>
        <w:tc>
          <w:tcPr>
            <w:tcW w:w="1118"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1.32</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1.58</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0C4797">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0.61</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1.03</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0.86</w:t>
            </w:r>
            <w:r w:rsidR="00A34766" w:rsidRPr="00E372A9">
              <w:rPr>
                <w:rFonts w:ascii="Arial" w:eastAsia="Times New Roman" w:hAnsi="Arial" w:cs="Arial"/>
                <w:sz w:val="20"/>
                <w:szCs w:val="16"/>
                <w:lang w:val="en-US"/>
              </w:rPr>
              <w:t>%</w:t>
            </w:r>
          </w:p>
        </w:tc>
      </w:tr>
      <w:tr w:rsidR="00A34766" w:rsidRPr="00676CB8" w:rsidTr="000A79B9">
        <w:trPr>
          <w:trHeight w:val="440"/>
        </w:trPr>
        <w:tc>
          <w:tcPr>
            <w:tcW w:w="2010" w:type="dxa"/>
            <w:shd w:val="clear" w:color="auto" w:fill="auto"/>
            <w:noWrap/>
            <w:vAlign w:val="bottom"/>
            <w:hideMark/>
          </w:tcPr>
          <w:p w:rsidR="00A34766" w:rsidRPr="00E372A9" w:rsidRDefault="00A34766" w:rsidP="00A34766">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Introductory Rate</w:t>
            </w:r>
          </w:p>
        </w:tc>
        <w:tc>
          <w:tcPr>
            <w:tcW w:w="1118" w:type="dxa"/>
            <w:gridSpan w:val="2"/>
            <w:shd w:val="clear" w:color="auto" w:fill="auto"/>
            <w:noWrap/>
            <w:vAlign w:val="bottom"/>
            <w:hideMark/>
          </w:tcPr>
          <w:p w:rsidR="00A34766" w:rsidRPr="00E372A9" w:rsidRDefault="00DF4F5C" w:rsidP="0054689D">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3.88</w:t>
            </w:r>
            <w:r w:rsidR="00A34766" w:rsidRPr="00E372A9">
              <w:rPr>
                <w:rFonts w:ascii="Arial" w:eastAsia="Times New Roman" w:hAnsi="Arial" w:cs="Arial"/>
                <w:sz w:val="20"/>
                <w:szCs w:val="16"/>
                <w:lang w:val="en-US"/>
              </w:rPr>
              <w:t>%</w:t>
            </w:r>
          </w:p>
        </w:tc>
        <w:tc>
          <w:tcPr>
            <w:tcW w:w="1204" w:type="dxa"/>
            <w:gridSpan w:val="2"/>
            <w:shd w:val="clear" w:color="auto" w:fill="auto"/>
            <w:noWrap/>
            <w:vAlign w:val="bottom"/>
            <w:hideMark/>
          </w:tcPr>
          <w:p w:rsidR="00A34766" w:rsidRPr="00E372A9" w:rsidRDefault="00DF4F5C" w:rsidP="00230777">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5.25</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FB60ED">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5.8</w:t>
            </w:r>
            <w:r w:rsidR="00FB60ED">
              <w:rPr>
                <w:rFonts w:ascii="Arial" w:eastAsia="Times New Roman" w:hAnsi="Arial" w:cs="Arial"/>
                <w:sz w:val="20"/>
                <w:szCs w:val="16"/>
                <w:lang w:val="en-US"/>
              </w:rPr>
              <w:t>3</w:t>
            </w:r>
            <w:r w:rsidR="00A34766" w:rsidRPr="00E372A9">
              <w:rPr>
                <w:rFonts w:ascii="Arial" w:eastAsia="Times New Roman" w:hAnsi="Arial" w:cs="Arial"/>
                <w:sz w:val="20"/>
                <w:szCs w:val="16"/>
                <w:lang w:val="en-US"/>
              </w:rPr>
              <w:t>%</w:t>
            </w:r>
          </w:p>
        </w:tc>
        <w:tc>
          <w:tcPr>
            <w:tcW w:w="1193" w:type="dxa"/>
            <w:gridSpan w:val="2"/>
            <w:shd w:val="clear" w:color="auto" w:fill="auto"/>
            <w:noWrap/>
            <w:vAlign w:val="bottom"/>
            <w:hideMark/>
          </w:tcPr>
          <w:p w:rsidR="00A34766" w:rsidRPr="00E372A9" w:rsidRDefault="00DF4F5C" w:rsidP="00C9604F">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3.53</w:t>
            </w:r>
            <w:r w:rsidR="00A34766" w:rsidRPr="00E372A9">
              <w:rPr>
                <w:rFonts w:ascii="Arial" w:eastAsia="Times New Roman" w:hAnsi="Arial" w:cs="Arial"/>
                <w:sz w:val="20"/>
                <w:szCs w:val="16"/>
                <w:lang w:val="en-US"/>
              </w:rPr>
              <w:t>%</w:t>
            </w:r>
          </w:p>
        </w:tc>
        <w:tc>
          <w:tcPr>
            <w:tcW w:w="1337" w:type="dxa"/>
            <w:gridSpan w:val="2"/>
            <w:shd w:val="clear" w:color="auto" w:fill="auto"/>
            <w:noWrap/>
            <w:vAlign w:val="bottom"/>
            <w:hideMark/>
          </w:tcPr>
          <w:p w:rsidR="00A34766" w:rsidRPr="00E372A9" w:rsidRDefault="00DF4F5C" w:rsidP="0019709E">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2.45</w:t>
            </w:r>
            <w:r w:rsidR="00A34766" w:rsidRPr="00E372A9">
              <w:rPr>
                <w:rFonts w:ascii="Arial" w:eastAsia="Times New Roman" w:hAnsi="Arial" w:cs="Arial"/>
                <w:sz w:val="20"/>
                <w:szCs w:val="16"/>
                <w:lang w:val="en-US"/>
              </w:rPr>
              <w:t>%</w:t>
            </w:r>
          </w:p>
        </w:tc>
      </w:tr>
      <w:tr w:rsidR="00A34766" w:rsidRPr="00676CB8" w:rsidTr="000A79B9">
        <w:trPr>
          <w:trHeight w:val="440"/>
        </w:trPr>
        <w:tc>
          <w:tcPr>
            <w:tcW w:w="2299" w:type="dxa"/>
            <w:gridSpan w:val="2"/>
            <w:shd w:val="clear" w:color="auto" w:fill="auto"/>
            <w:noWrap/>
            <w:vAlign w:val="bottom"/>
            <w:hideMark/>
          </w:tcPr>
          <w:p w:rsidR="00A34766" w:rsidRPr="00E372A9" w:rsidRDefault="00A34766" w:rsidP="00A34766">
            <w:pPr>
              <w:spacing w:after="0" w:line="240" w:lineRule="auto"/>
              <w:ind w:left="-142" w:right="-88"/>
              <w:rPr>
                <w:rFonts w:ascii="Arial" w:eastAsia="Times New Roman" w:hAnsi="Arial" w:cs="Arial"/>
                <w:b/>
                <w:bCs/>
                <w:sz w:val="20"/>
                <w:szCs w:val="16"/>
                <w:lang w:val="en-US"/>
              </w:rPr>
            </w:pPr>
            <w:r w:rsidRPr="00E372A9">
              <w:rPr>
                <w:rFonts w:ascii="Arial" w:eastAsia="Times New Roman" w:hAnsi="Arial" w:cs="Arial"/>
                <w:b/>
                <w:bCs/>
                <w:sz w:val="20"/>
                <w:szCs w:val="16"/>
                <w:lang w:val="en-US"/>
              </w:rPr>
              <w:t xml:space="preserve"> Fixed</w:t>
            </w:r>
          </w:p>
        </w:tc>
        <w:tc>
          <w:tcPr>
            <w:tcW w:w="1118" w:type="dxa"/>
            <w:gridSpan w:val="2"/>
            <w:shd w:val="clear" w:color="auto" w:fill="auto"/>
            <w:noWrap/>
            <w:vAlign w:val="bottom"/>
            <w:hideMark/>
          </w:tcPr>
          <w:p w:rsidR="00A34766" w:rsidRPr="00E372A9" w:rsidRDefault="00DF4F5C" w:rsidP="008E58F9">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27.34</w:t>
            </w:r>
            <w:r w:rsidR="00A34766" w:rsidRPr="00E372A9">
              <w:rPr>
                <w:rFonts w:ascii="Arial" w:eastAsia="Times New Roman" w:hAnsi="Arial" w:cs="Arial"/>
                <w:b/>
                <w:bCs/>
                <w:sz w:val="20"/>
                <w:szCs w:val="16"/>
                <w:lang w:val="en-US"/>
              </w:rPr>
              <w:t>%</w:t>
            </w:r>
          </w:p>
        </w:tc>
        <w:tc>
          <w:tcPr>
            <w:tcW w:w="1204" w:type="dxa"/>
            <w:gridSpan w:val="2"/>
            <w:shd w:val="clear" w:color="auto" w:fill="auto"/>
            <w:noWrap/>
            <w:vAlign w:val="bottom"/>
            <w:hideMark/>
          </w:tcPr>
          <w:p w:rsidR="00A34766" w:rsidRPr="00E372A9" w:rsidRDefault="00DF4F5C"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12.69</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24.64</w:t>
            </w:r>
            <w:r w:rsidR="00A34766"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rsidR="00A34766" w:rsidRPr="00E372A9" w:rsidRDefault="00DF4F5C" w:rsidP="00A34766">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15.55</w:t>
            </w:r>
            <w:r w:rsidR="00A34766" w:rsidRPr="00E372A9">
              <w:rPr>
                <w:rFonts w:ascii="Arial" w:eastAsia="Times New Roman" w:hAnsi="Arial" w:cs="Arial"/>
                <w:b/>
                <w:bCs/>
                <w:sz w:val="20"/>
                <w:szCs w:val="16"/>
                <w:lang w:val="en-US"/>
              </w:rPr>
              <w:t>%</w:t>
            </w:r>
          </w:p>
        </w:tc>
        <w:tc>
          <w:tcPr>
            <w:tcW w:w="1048" w:type="dxa"/>
            <w:shd w:val="clear" w:color="auto" w:fill="auto"/>
            <w:noWrap/>
            <w:vAlign w:val="bottom"/>
            <w:hideMark/>
          </w:tcPr>
          <w:p w:rsidR="00A34766" w:rsidRPr="00E372A9" w:rsidRDefault="00DF4F5C" w:rsidP="00A34766">
            <w:pPr>
              <w:spacing w:after="0" w:line="240" w:lineRule="auto"/>
              <w:ind w:left="-142" w:right="-88"/>
              <w:jc w:val="right"/>
              <w:rPr>
                <w:rFonts w:ascii="Arial" w:eastAsia="Times New Roman" w:hAnsi="Arial" w:cs="Arial"/>
                <w:b/>
                <w:bCs/>
                <w:sz w:val="20"/>
                <w:szCs w:val="16"/>
                <w:lang w:val="en-US"/>
              </w:rPr>
            </w:pPr>
            <w:r>
              <w:rPr>
                <w:rFonts w:ascii="Arial" w:eastAsia="Times New Roman" w:hAnsi="Arial" w:cs="Arial"/>
                <w:b/>
                <w:bCs/>
                <w:sz w:val="20"/>
                <w:szCs w:val="16"/>
                <w:lang w:val="en-US"/>
              </w:rPr>
              <w:t>16.09</w:t>
            </w:r>
            <w:r w:rsidR="00A34766" w:rsidRPr="00E372A9">
              <w:rPr>
                <w:rFonts w:ascii="Arial" w:eastAsia="Times New Roman" w:hAnsi="Arial" w:cs="Arial"/>
                <w:b/>
                <w:bCs/>
                <w:sz w:val="20"/>
                <w:szCs w:val="16"/>
                <w:lang w:val="en-US"/>
              </w:rPr>
              <w:t>%</w:t>
            </w:r>
          </w:p>
        </w:tc>
      </w:tr>
    </w:tbl>
    <w:p w:rsidR="00681D9D" w:rsidRDefault="00681D9D" w:rsidP="00ED5964">
      <w:pPr>
        <w:pStyle w:val="BodyText"/>
        <w:ind w:left="-284" w:right="-330"/>
        <w:rPr>
          <w:rFonts w:ascii="Calibri" w:hAnsi="Calibri" w:cs="Calibri"/>
          <w:b/>
          <w:sz w:val="20"/>
          <w:szCs w:val="20"/>
          <w:u w:val="single"/>
        </w:rPr>
      </w:pPr>
    </w:p>
    <w:p w:rsidR="0019709E" w:rsidRDefault="0019709E" w:rsidP="00ED5964">
      <w:pPr>
        <w:pStyle w:val="BodyText"/>
        <w:ind w:left="-284" w:right="-330"/>
        <w:rPr>
          <w:rFonts w:ascii="Calibri" w:hAnsi="Calibri" w:cs="Calibri"/>
          <w:b/>
          <w:sz w:val="20"/>
          <w:szCs w:val="20"/>
          <w:u w:val="single"/>
        </w:rPr>
      </w:pPr>
    </w:p>
    <w:p w:rsidR="00ED5964" w:rsidRPr="00F119D7" w:rsidRDefault="00ED5964" w:rsidP="00ED5964">
      <w:pPr>
        <w:pStyle w:val="BodyText"/>
        <w:ind w:left="-284" w:right="-330"/>
        <w:rPr>
          <w:rFonts w:ascii="Calibri" w:hAnsi="Calibri" w:cs="Calibri"/>
          <w:b/>
          <w:sz w:val="20"/>
          <w:szCs w:val="20"/>
          <w:u w:val="single"/>
        </w:rPr>
      </w:pPr>
      <w:r w:rsidRPr="00F119D7">
        <w:rPr>
          <w:rFonts w:ascii="Calibri" w:hAnsi="Calibri" w:cs="Calibri"/>
          <w:b/>
          <w:sz w:val="20"/>
          <w:szCs w:val="20"/>
          <w:u w:val="single"/>
        </w:rPr>
        <w:t>For further information, or to arrange an interview, please contact:</w:t>
      </w:r>
    </w:p>
    <w:p w:rsidR="00ED5964" w:rsidRPr="007E344F" w:rsidRDefault="00ED5964" w:rsidP="00ED5964">
      <w:pPr>
        <w:pStyle w:val="BodyText"/>
        <w:ind w:left="-284" w:right="-330"/>
        <w:rPr>
          <w:rFonts w:ascii="Calibri" w:hAnsi="Calibri" w:cs="Calibri"/>
          <w:sz w:val="6"/>
          <w:szCs w:val="20"/>
        </w:rPr>
      </w:pPr>
    </w:p>
    <w:p w:rsidR="00ED5964" w:rsidRPr="00F119D7" w:rsidRDefault="007C56D1" w:rsidP="00ED5964">
      <w:pPr>
        <w:pStyle w:val="BodyText"/>
        <w:ind w:left="-284" w:right="-330"/>
        <w:rPr>
          <w:rFonts w:ascii="Calibri" w:hAnsi="Calibri" w:cs="Calibri"/>
          <w:sz w:val="20"/>
          <w:szCs w:val="20"/>
        </w:rPr>
      </w:pPr>
      <w:r>
        <w:rPr>
          <w:rFonts w:ascii="Calibri" w:hAnsi="Calibri" w:cs="Calibri"/>
          <w:sz w:val="20"/>
          <w:szCs w:val="20"/>
        </w:rPr>
        <w:t>Jessica Darnbrough</w:t>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ED5964">
        <w:rPr>
          <w:rFonts w:ascii="Calibri" w:hAnsi="Calibri" w:cs="Calibri"/>
          <w:sz w:val="20"/>
          <w:szCs w:val="20"/>
        </w:rPr>
        <w:tab/>
      </w:r>
      <w:r w:rsidR="000278D5">
        <w:rPr>
          <w:rFonts w:ascii="Calibri" w:hAnsi="Calibri" w:cs="Calibri"/>
          <w:sz w:val="20"/>
          <w:szCs w:val="20"/>
        </w:rPr>
        <w:t>Brendan Wong</w:t>
      </w:r>
    </w:p>
    <w:p w:rsidR="00ED5964" w:rsidRPr="00F119D7" w:rsidRDefault="007C56D1" w:rsidP="00ED5964">
      <w:pPr>
        <w:pStyle w:val="BodyText"/>
        <w:ind w:left="-284" w:right="-330"/>
        <w:rPr>
          <w:rFonts w:ascii="Calibri" w:hAnsi="Calibri" w:cs="Calibri"/>
          <w:sz w:val="20"/>
          <w:szCs w:val="20"/>
        </w:rPr>
      </w:pPr>
      <w:r>
        <w:rPr>
          <w:rFonts w:ascii="Calibri" w:hAnsi="Calibri" w:cs="Calibri"/>
          <w:sz w:val="20"/>
          <w:szCs w:val="20"/>
        </w:rPr>
        <w:t>Mortgage Choice Corporate Affairs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681D9D">
        <w:rPr>
          <w:rFonts w:ascii="Calibri" w:hAnsi="Calibri" w:cs="Calibri"/>
          <w:sz w:val="20"/>
          <w:szCs w:val="20"/>
        </w:rPr>
        <w:t>Mortgage Choice Corporate Affairs</w:t>
      </w:r>
    </w:p>
    <w:p w:rsidR="00ED5964" w:rsidRPr="00F119D7" w:rsidRDefault="00ED5964" w:rsidP="00ED5964">
      <w:pPr>
        <w:pStyle w:val="BodyText"/>
        <w:ind w:left="-284" w:right="-330"/>
        <w:rPr>
          <w:rFonts w:ascii="Calibri" w:hAnsi="Calibri" w:cs="Calibri"/>
          <w:sz w:val="20"/>
          <w:szCs w:val="20"/>
        </w:rPr>
      </w:pPr>
      <w:r w:rsidRPr="00F119D7">
        <w:rPr>
          <w:rFonts w:ascii="Calibri" w:hAnsi="Calibri" w:cs="Calibri"/>
          <w:sz w:val="20"/>
          <w:szCs w:val="20"/>
        </w:rPr>
        <w:t>(0</w:t>
      </w:r>
      <w:r w:rsidR="00681D9D">
        <w:rPr>
          <w:rFonts w:ascii="Calibri" w:hAnsi="Calibri" w:cs="Calibri"/>
          <w:sz w:val="20"/>
          <w:szCs w:val="20"/>
        </w:rPr>
        <w:t xml:space="preserve">2) </w:t>
      </w:r>
      <w:r w:rsidR="007C56D1">
        <w:rPr>
          <w:rFonts w:ascii="Calibri" w:hAnsi="Calibri" w:cs="Calibri"/>
          <w:sz w:val="20"/>
          <w:szCs w:val="20"/>
        </w:rPr>
        <w:t>8907 0472</w:t>
      </w:r>
      <w:r w:rsidR="00681D9D">
        <w:rPr>
          <w:rFonts w:ascii="Calibri" w:hAnsi="Calibri" w:cs="Calibri"/>
          <w:sz w:val="20"/>
          <w:szCs w:val="20"/>
        </w:rPr>
        <w:t xml:space="preserve"> / </w:t>
      </w:r>
      <w:r w:rsidR="00C9604F">
        <w:rPr>
          <w:rFonts w:ascii="Calibri" w:hAnsi="Calibri" w:cs="Calibri"/>
          <w:sz w:val="20"/>
          <w:szCs w:val="20"/>
        </w:rPr>
        <w:t>0</w:t>
      </w:r>
      <w:r w:rsidR="007C56D1">
        <w:rPr>
          <w:rFonts w:ascii="Calibri" w:hAnsi="Calibri" w:cs="Calibri"/>
          <w:sz w:val="20"/>
          <w:szCs w:val="20"/>
        </w:rPr>
        <w:t>431 717 665</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F119D7">
        <w:rPr>
          <w:rFonts w:ascii="Calibri" w:hAnsi="Calibri" w:cs="Calibri"/>
          <w:sz w:val="20"/>
          <w:szCs w:val="20"/>
        </w:rPr>
        <w:t xml:space="preserve">(02) </w:t>
      </w:r>
      <w:r w:rsidR="000278D5">
        <w:rPr>
          <w:rFonts w:ascii="Calibri" w:hAnsi="Calibri" w:cs="Calibri"/>
          <w:sz w:val="20"/>
          <w:szCs w:val="20"/>
        </w:rPr>
        <w:t>8907 0502</w:t>
      </w:r>
      <w:r w:rsidR="00681D9D">
        <w:rPr>
          <w:rFonts w:ascii="Calibri" w:hAnsi="Calibri" w:cs="Calibri"/>
          <w:sz w:val="20"/>
          <w:szCs w:val="20"/>
        </w:rPr>
        <w:t xml:space="preserve"> / </w:t>
      </w:r>
      <w:r w:rsidR="000278D5">
        <w:rPr>
          <w:rFonts w:ascii="Calibri" w:hAnsi="Calibri" w:cs="Calibri"/>
          <w:sz w:val="20"/>
          <w:szCs w:val="20"/>
        </w:rPr>
        <w:t>0414 299 282</w:t>
      </w:r>
    </w:p>
    <w:p w:rsidR="00ED5964" w:rsidRPr="00F119D7" w:rsidRDefault="007A64EA" w:rsidP="00ED5964">
      <w:pPr>
        <w:autoSpaceDE w:val="0"/>
        <w:autoSpaceDN w:val="0"/>
        <w:adjustRightInd w:val="0"/>
        <w:spacing w:after="0"/>
        <w:ind w:left="-284" w:right="-330"/>
        <w:jc w:val="both"/>
        <w:rPr>
          <w:rFonts w:cs="Calibri"/>
          <w:iCs/>
          <w:sz w:val="20"/>
          <w:szCs w:val="20"/>
          <w:lang w:val="en-US"/>
        </w:rPr>
      </w:pPr>
      <w:hyperlink r:id="rId9" w:history="1">
        <w:r w:rsidR="009C23C3" w:rsidRPr="008D7739">
          <w:rPr>
            <w:rStyle w:val="Hyperlink"/>
            <w:rFonts w:cs="Calibri"/>
            <w:sz w:val="20"/>
            <w:szCs w:val="20"/>
          </w:rPr>
          <w:t>jessica.darnbrough@mortgagechoice.com.au</w:t>
        </w:r>
      </w:hyperlink>
      <w:r w:rsidR="00ED5964" w:rsidRPr="00F119D7">
        <w:rPr>
          <w:rFonts w:cs="Calibri"/>
          <w:sz w:val="20"/>
          <w:szCs w:val="20"/>
        </w:rPr>
        <w:t xml:space="preserve"> </w:t>
      </w:r>
      <w:r w:rsidR="00ED5964" w:rsidRPr="00F119D7">
        <w:rPr>
          <w:rFonts w:cs="Calibri"/>
          <w:sz w:val="20"/>
          <w:szCs w:val="20"/>
        </w:rPr>
        <w:tab/>
      </w:r>
      <w:r w:rsidR="009C23C3">
        <w:rPr>
          <w:rFonts w:cs="Calibri"/>
          <w:color w:val="000000"/>
          <w:sz w:val="20"/>
          <w:szCs w:val="20"/>
        </w:rPr>
        <w:tab/>
      </w:r>
      <w:hyperlink r:id="rId10" w:history="1">
        <w:r w:rsidR="001E0B09" w:rsidRPr="001805F4">
          <w:rPr>
            <w:rStyle w:val="Hyperlink"/>
            <w:rFonts w:cs="Calibri"/>
            <w:sz w:val="20"/>
            <w:szCs w:val="20"/>
          </w:rPr>
          <w:t>brendan.wong@mortgagechoice.com.au</w:t>
        </w:r>
      </w:hyperlink>
      <w:r w:rsidR="00681D9D">
        <w:rPr>
          <w:rFonts w:cs="Calibri"/>
          <w:sz w:val="20"/>
          <w:szCs w:val="20"/>
        </w:rPr>
        <w:t xml:space="preserve"> </w:t>
      </w:r>
      <w:r w:rsidR="00ED5964" w:rsidRPr="00F119D7">
        <w:rPr>
          <w:rFonts w:cs="Calibri"/>
          <w:sz w:val="20"/>
          <w:szCs w:val="20"/>
        </w:rPr>
        <w:t xml:space="preserve">  </w:t>
      </w:r>
      <w:r w:rsidR="00ED5964" w:rsidRPr="00F119D7">
        <w:rPr>
          <w:rFonts w:cs="Calibri"/>
          <w:color w:val="000000"/>
          <w:sz w:val="20"/>
          <w:szCs w:val="20"/>
        </w:rPr>
        <w:t xml:space="preserve"> </w:t>
      </w:r>
    </w:p>
    <w:p w:rsidR="00A34766" w:rsidRDefault="00A34766" w:rsidP="00A34766">
      <w:pPr>
        <w:pStyle w:val="BodyText"/>
        <w:ind w:right="-330"/>
        <w:rPr>
          <w:rFonts w:ascii="Calibri" w:hAnsi="Calibri" w:cs="Calibri"/>
          <w:b/>
          <w:sz w:val="20"/>
          <w:szCs w:val="20"/>
          <w:u w:val="single"/>
        </w:rPr>
      </w:pPr>
    </w:p>
    <w:p w:rsidR="00681D9D" w:rsidRDefault="00681D9D" w:rsidP="00DC60B9">
      <w:pPr>
        <w:autoSpaceDE w:val="0"/>
        <w:autoSpaceDN w:val="0"/>
        <w:adjustRightInd w:val="0"/>
        <w:spacing w:after="0"/>
        <w:ind w:left="-284" w:right="-330"/>
        <w:jc w:val="both"/>
        <w:rPr>
          <w:rFonts w:cs="Calibri"/>
          <w:b/>
          <w:sz w:val="20"/>
          <w:szCs w:val="20"/>
          <w:u w:val="single"/>
        </w:rPr>
      </w:pPr>
    </w:p>
    <w:p w:rsidR="00F119D7" w:rsidRPr="00F119D7" w:rsidRDefault="00F119D7" w:rsidP="00DC60B9">
      <w:pPr>
        <w:autoSpaceDE w:val="0"/>
        <w:autoSpaceDN w:val="0"/>
        <w:adjustRightInd w:val="0"/>
        <w:spacing w:after="0"/>
        <w:ind w:left="-284" w:right="-330"/>
        <w:jc w:val="both"/>
        <w:rPr>
          <w:rFonts w:cs="Calibri"/>
          <w:b/>
          <w:sz w:val="20"/>
          <w:szCs w:val="20"/>
          <w:u w:val="single"/>
        </w:rPr>
      </w:pPr>
      <w:r w:rsidRPr="00F119D7">
        <w:rPr>
          <w:rFonts w:cs="Calibri"/>
          <w:b/>
          <w:sz w:val="20"/>
          <w:szCs w:val="20"/>
          <w:u w:val="single"/>
        </w:rPr>
        <w:t>Important information</w:t>
      </w:r>
    </w:p>
    <w:p w:rsidR="00F119D7" w:rsidRPr="00F119D7" w:rsidRDefault="00F119D7" w:rsidP="00DC60B9">
      <w:pPr>
        <w:autoSpaceDE w:val="0"/>
        <w:autoSpaceDN w:val="0"/>
        <w:adjustRightInd w:val="0"/>
        <w:spacing w:after="0"/>
        <w:ind w:left="-284" w:right="-330"/>
        <w:jc w:val="both"/>
        <w:rPr>
          <w:rFonts w:cs="Calibri"/>
          <w:sz w:val="20"/>
          <w:szCs w:val="20"/>
        </w:rPr>
      </w:pPr>
      <w:r w:rsidRPr="00F119D7">
        <w:rPr>
          <w:rFonts w:cs="Calibri"/>
          <w:sz w:val="20"/>
          <w:szCs w:val="20"/>
        </w:rPr>
        <w:t>This article is for general information purposes only. It has been prepared without considering your objectives, financial situation or needs. You should, before acting on the advice, consider its appropriateness to your circumstances.</w:t>
      </w:r>
    </w:p>
    <w:p w:rsidR="00F119D7" w:rsidRPr="00F119D7" w:rsidRDefault="00F119D7" w:rsidP="00DC60B9">
      <w:pPr>
        <w:autoSpaceDE w:val="0"/>
        <w:autoSpaceDN w:val="0"/>
        <w:adjustRightInd w:val="0"/>
        <w:spacing w:after="0"/>
        <w:ind w:left="-284" w:right="-330"/>
        <w:jc w:val="both"/>
        <w:rPr>
          <w:rFonts w:cs="Calibri"/>
          <w:sz w:val="20"/>
          <w:szCs w:val="20"/>
        </w:rPr>
      </w:pPr>
    </w:p>
    <w:p w:rsidR="00F119D7" w:rsidRPr="00F119D7" w:rsidRDefault="00F119D7" w:rsidP="00DC60B9">
      <w:pPr>
        <w:autoSpaceDE w:val="0"/>
        <w:autoSpaceDN w:val="0"/>
        <w:adjustRightInd w:val="0"/>
        <w:spacing w:after="0"/>
        <w:ind w:left="-284" w:right="-330"/>
        <w:jc w:val="both"/>
        <w:rPr>
          <w:rFonts w:cs="Calibri"/>
          <w:sz w:val="20"/>
          <w:szCs w:val="20"/>
        </w:rPr>
      </w:pPr>
      <w:r w:rsidRPr="00F119D7">
        <w:rPr>
          <w:rFonts w:cs="Calibri"/>
          <w:b/>
          <w:sz w:val="20"/>
          <w:szCs w:val="20"/>
          <w:u w:val="single"/>
        </w:rPr>
        <w:t>About Mortgage Choice</w:t>
      </w:r>
    </w:p>
    <w:p w:rsidR="002175E8"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is an ASX listed company that seeks to help Australians with all of their financial needs.</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Established in 1992, Mortgage Choice was originally established to help Australians improve their financial situation by offering a choice of home loan providers, coupled with the expert advice of a mortgage professional.</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 xml:space="preserve">Since that time, the company has grown and developed into a </w:t>
      </w:r>
      <w:proofErr w:type="spellStart"/>
      <w:r w:rsidRPr="00F119D7">
        <w:rPr>
          <w:rFonts w:cs="Calibri"/>
          <w:sz w:val="20"/>
          <w:szCs w:val="20"/>
          <w:lang w:val="en-US" w:eastAsia="en-AU"/>
        </w:rPr>
        <w:t>fully fledged</w:t>
      </w:r>
      <w:proofErr w:type="spellEnd"/>
      <w:r w:rsidRPr="00F119D7">
        <w:rPr>
          <w:rFonts w:cs="Calibri"/>
          <w:sz w:val="20"/>
          <w:szCs w:val="20"/>
          <w:lang w:val="en-US" w:eastAsia="en-AU"/>
        </w:rPr>
        <w:t xml:space="preserve"> financial services provider.</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lastRenderedPageBreak/>
        <w:t xml:space="preserve">Today, Mortgage Choice helps </w:t>
      </w:r>
      <w:proofErr w:type="gramStart"/>
      <w:r w:rsidRPr="00F119D7">
        <w:rPr>
          <w:rFonts w:cs="Calibri"/>
          <w:sz w:val="20"/>
          <w:szCs w:val="20"/>
          <w:lang w:val="en-US" w:eastAsia="en-AU"/>
        </w:rPr>
        <w:t>customers</w:t>
      </w:r>
      <w:proofErr w:type="gramEnd"/>
      <w:r w:rsidRPr="00F119D7">
        <w:rPr>
          <w:rFonts w:cs="Calibri"/>
          <w:sz w:val="20"/>
          <w:szCs w:val="20"/>
          <w:lang w:val="en-US" w:eastAsia="en-AU"/>
        </w:rPr>
        <w:t xml:space="preserve"> source car loans, personal loans, credit cards, commercial loans, asset finance, deposit bonds, and risk and general insurance.</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Further, the company offers Australians access to real, relevant and affordable financial advice through our qualified financial advisers.</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Mortgage Choice has no balance sheet or funding risk, and consistently delivers strong profits and attractive yields. It listed on the ASX in 2004 (MOC) and is a member of the Mortgage &amp; Finance Association of Australia (MFAA).</w:t>
      </w:r>
    </w:p>
    <w:p w:rsidR="00F119D7" w:rsidRPr="00F119D7" w:rsidRDefault="00F119D7" w:rsidP="00DC60B9">
      <w:pPr>
        <w:spacing w:after="0"/>
        <w:ind w:left="-284" w:right="-330"/>
        <w:jc w:val="both"/>
        <w:rPr>
          <w:rFonts w:cs="Calibri"/>
          <w:sz w:val="20"/>
          <w:szCs w:val="20"/>
          <w:lang w:val="en-US" w:eastAsia="en-AU"/>
        </w:rPr>
      </w:pPr>
      <w:r w:rsidRPr="00F119D7">
        <w:rPr>
          <w:rFonts w:cs="Calibri"/>
          <w:sz w:val="20"/>
          <w:szCs w:val="20"/>
          <w:lang w:val="en-US" w:eastAsia="en-AU"/>
        </w:rPr>
        <w:t xml:space="preserve">Mortgage Choice holds an Australian Credit </w:t>
      </w:r>
      <w:proofErr w:type="spellStart"/>
      <w:r w:rsidRPr="00F119D7">
        <w:rPr>
          <w:rFonts w:cs="Calibri"/>
          <w:sz w:val="20"/>
          <w:szCs w:val="20"/>
          <w:lang w:val="en-US" w:eastAsia="en-AU"/>
        </w:rPr>
        <w:t>Licence</w:t>
      </w:r>
      <w:proofErr w:type="spellEnd"/>
      <w:r w:rsidRPr="00F119D7">
        <w:rPr>
          <w:rFonts w:cs="Calibri"/>
          <w:sz w:val="20"/>
          <w:szCs w:val="20"/>
          <w:lang w:val="en-US" w:eastAsia="en-AU"/>
        </w:rPr>
        <w:t xml:space="preserve">: no. 382869 and Mortgage Choice Financial Planning Pty Limited holds an Australian Financial Services </w:t>
      </w:r>
      <w:proofErr w:type="spellStart"/>
      <w:r w:rsidRPr="00F119D7">
        <w:rPr>
          <w:rFonts w:cs="Calibri"/>
          <w:sz w:val="20"/>
          <w:szCs w:val="20"/>
          <w:lang w:val="en-US" w:eastAsia="en-AU"/>
        </w:rPr>
        <w:t>Licence</w:t>
      </w:r>
      <w:proofErr w:type="spellEnd"/>
      <w:r w:rsidRPr="00F119D7">
        <w:rPr>
          <w:rFonts w:cs="Calibri"/>
          <w:sz w:val="20"/>
          <w:szCs w:val="20"/>
          <w:lang w:val="en-US" w:eastAsia="en-AU"/>
        </w:rPr>
        <w:t xml:space="preserve">: no. 422854. Both </w:t>
      </w:r>
      <w:proofErr w:type="spellStart"/>
      <w:r w:rsidRPr="00F119D7">
        <w:rPr>
          <w:rFonts w:cs="Calibri"/>
          <w:sz w:val="20"/>
          <w:szCs w:val="20"/>
          <w:lang w:val="en-US" w:eastAsia="en-AU"/>
        </w:rPr>
        <w:t>licences</w:t>
      </w:r>
      <w:proofErr w:type="spellEnd"/>
      <w:r w:rsidRPr="00F119D7">
        <w:rPr>
          <w:rFonts w:cs="Calibri"/>
          <w:sz w:val="20"/>
          <w:szCs w:val="20"/>
          <w:lang w:val="en-US" w:eastAsia="en-AU"/>
        </w:rPr>
        <w:t xml:space="preserve"> are issued by ASIC.</w:t>
      </w:r>
    </w:p>
    <w:p w:rsidR="00A52A9B" w:rsidRPr="002175E8" w:rsidRDefault="00A52A9B" w:rsidP="00DC60B9">
      <w:pPr>
        <w:spacing w:after="0"/>
        <w:ind w:left="-284" w:right="-330"/>
        <w:jc w:val="both"/>
        <w:rPr>
          <w:rFonts w:cs="Calibri"/>
          <w:sz w:val="20"/>
          <w:szCs w:val="20"/>
          <w:lang w:val="en-US" w:eastAsia="en-AU"/>
        </w:rPr>
      </w:pPr>
      <w:r w:rsidRPr="00F119D7">
        <w:rPr>
          <w:rFonts w:cs="Calibri"/>
          <w:sz w:val="20"/>
          <w:szCs w:val="20"/>
          <w:lang w:val="en-US" w:eastAsia="en-AU"/>
        </w:rPr>
        <w:t xml:space="preserve">Recent recognition: </w:t>
      </w:r>
      <w:r>
        <w:rPr>
          <w:rFonts w:cs="Calibri"/>
          <w:sz w:val="20"/>
          <w:szCs w:val="20"/>
          <w:lang w:val="en-US" w:eastAsia="en-AU"/>
        </w:rPr>
        <w:t xml:space="preserve">2014 Australian Broking Awards </w:t>
      </w:r>
      <w:r>
        <w:rPr>
          <w:rFonts w:cs="Calibri"/>
          <w:i/>
          <w:sz w:val="20"/>
          <w:szCs w:val="20"/>
          <w:lang w:val="en-US" w:eastAsia="en-AU"/>
        </w:rPr>
        <w:t xml:space="preserve">Best Diversification Program; </w:t>
      </w:r>
      <w:r w:rsidRPr="00F119D7">
        <w:rPr>
          <w:rFonts w:cs="Calibri"/>
          <w:sz w:val="20"/>
          <w:szCs w:val="20"/>
          <w:lang w:val="en-US" w:eastAsia="en-AU"/>
        </w:rPr>
        <w:t xml:space="preserve">2013, 2012, 2011 Australian Broking Awards </w:t>
      </w:r>
      <w:r w:rsidRPr="00FF7BDC">
        <w:rPr>
          <w:rFonts w:cs="Calibri"/>
          <w:i/>
          <w:sz w:val="20"/>
          <w:szCs w:val="20"/>
          <w:lang w:val="en-US" w:eastAsia="en-AU"/>
        </w:rPr>
        <w:t>Major Brokerage of the Year – Franchise</w:t>
      </w:r>
      <w:r w:rsidRPr="00F119D7">
        <w:rPr>
          <w:rFonts w:cs="Calibri"/>
          <w:sz w:val="20"/>
          <w:szCs w:val="20"/>
          <w:lang w:val="en-US" w:eastAsia="en-AU"/>
        </w:rPr>
        <w:t xml:space="preserve">; 2013, 2012 Australian Broking Awards </w:t>
      </w:r>
      <w:r w:rsidRPr="00FF7BDC">
        <w:rPr>
          <w:rFonts w:cs="Calibri"/>
          <w:i/>
          <w:sz w:val="20"/>
          <w:szCs w:val="20"/>
          <w:lang w:val="en-US" w:eastAsia="en-AU"/>
        </w:rPr>
        <w:t>Best Ethical/Social Responsibility Program</w:t>
      </w:r>
      <w:r w:rsidRPr="00F119D7">
        <w:rPr>
          <w:rFonts w:cs="Calibri"/>
          <w:sz w:val="20"/>
          <w:szCs w:val="20"/>
          <w:lang w:val="en-US" w:eastAsia="en-AU"/>
        </w:rPr>
        <w:t xml:space="preserve">; 2012 Australian Broking Awards </w:t>
      </w:r>
      <w:r w:rsidRPr="00FF7BDC">
        <w:rPr>
          <w:rFonts w:cs="Calibri"/>
          <w:i/>
          <w:sz w:val="20"/>
          <w:szCs w:val="20"/>
          <w:lang w:val="en-US" w:eastAsia="en-AU"/>
        </w:rPr>
        <w:t>Best Training and Education</w:t>
      </w:r>
      <w:r w:rsidRPr="00F119D7">
        <w:rPr>
          <w:rFonts w:cs="Calibri"/>
          <w:sz w:val="20"/>
          <w:szCs w:val="20"/>
          <w:lang w:val="en-US" w:eastAsia="en-AU"/>
        </w:rPr>
        <w:t xml:space="preserve">;   No.1 on The Adviser magazine’s 2012, 2011, 2010 and 2009 </w:t>
      </w:r>
      <w:r w:rsidRPr="00FF7BDC">
        <w:rPr>
          <w:rFonts w:cs="Calibri"/>
          <w:i/>
          <w:sz w:val="20"/>
          <w:szCs w:val="20"/>
          <w:lang w:val="en-US" w:eastAsia="en-AU"/>
        </w:rPr>
        <w:t>Top 25 Brokerages</w:t>
      </w:r>
      <w:r w:rsidRPr="00F119D7">
        <w:rPr>
          <w:rFonts w:cs="Calibri"/>
          <w:sz w:val="20"/>
          <w:szCs w:val="20"/>
          <w:lang w:val="en-US" w:eastAsia="en-AU"/>
        </w:rPr>
        <w:t xml:space="preserve"> list; 2012, 2010, 2009, 2008, 2006 and 2005 MFAA Awards </w:t>
      </w:r>
      <w:r w:rsidRPr="00FF7BDC">
        <w:rPr>
          <w:rFonts w:cs="Calibri"/>
          <w:i/>
          <w:sz w:val="20"/>
          <w:szCs w:val="20"/>
          <w:lang w:val="en-US" w:eastAsia="en-AU"/>
        </w:rPr>
        <w:t>Retail Aggregator/Originator of the Year</w:t>
      </w:r>
      <w:r w:rsidRPr="00F119D7">
        <w:rPr>
          <w:rFonts w:cs="Calibri"/>
          <w:sz w:val="20"/>
          <w:szCs w:val="20"/>
          <w:lang w:val="en-US" w:eastAsia="en-AU"/>
        </w:rPr>
        <w:t xml:space="preserve">; 2011, 2010, 2009 and 2008 10 Thousand FEET </w:t>
      </w:r>
      <w:r w:rsidRPr="00FF7BDC">
        <w:rPr>
          <w:rFonts w:cs="Calibri"/>
          <w:i/>
          <w:sz w:val="20"/>
          <w:szCs w:val="20"/>
          <w:lang w:val="en-US" w:eastAsia="en-AU"/>
        </w:rPr>
        <w:t>Top 10 Franchise list</w:t>
      </w:r>
      <w:r w:rsidRPr="00F119D7">
        <w:rPr>
          <w:rFonts w:cs="Calibri"/>
          <w:sz w:val="20"/>
          <w:szCs w:val="20"/>
          <w:lang w:val="en-US" w:eastAsia="en-AU"/>
        </w:rPr>
        <w:t xml:space="preserve">; 2010 Forbes Asia-Pacific </w:t>
      </w:r>
      <w:r w:rsidRPr="00FF7BDC">
        <w:rPr>
          <w:rFonts w:cs="Calibri"/>
          <w:i/>
          <w:sz w:val="20"/>
          <w:szCs w:val="20"/>
          <w:lang w:val="en-US" w:eastAsia="en-AU"/>
        </w:rPr>
        <w:t>Best Under A Billion list</w:t>
      </w:r>
      <w:r w:rsidRPr="00F119D7">
        <w:rPr>
          <w:rFonts w:cs="Calibri"/>
          <w:sz w:val="20"/>
          <w:szCs w:val="20"/>
          <w:lang w:val="en-US" w:eastAsia="en-AU"/>
        </w:rPr>
        <w:t>.</w:t>
      </w:r>
    </w:p>
    <w:p w:rsidR="00F119D7" w:rsidRPr="00F119D7" w:rsidRDefault="00F119D7" w:rsidP="00DC60B9">
      <w:pPr>
        <w:spacing w:after="0"/>
        <w:ind w:left="-284" w:right="-330"/>
        <w:jc w:val="both"/>
        <w:rPr>
          <w:rFonts w:cs="Arial"/>
          <w:sz w:val="20"/>
          <w:szCs w:val="20"/>
        </w:rPr>
      </w:pPr>
      <w:r w:rsidRPr="00F119D7">
        <w:rPr>
          <w:rFonts w:cs="Arial"/>
          <w:sz w:val="20"/>
          <w:szCs w:val="20"/>
          <w:lang w:val="en-US"/>
        </w:rPr>
        <w:t xml:space="preserve">Visit </w:t>
      </w:r>
      <w:hyperlink r:id="rId11" w:tgtFrame="_blank" w:history="1">
        <w:r w:rsidRPr="00F119D7">
          <w:rPr>
            <w:rStyle w:val="Hyperlink"/>
            <w:rFonts w:cs="Arial"/>
            <w:sz w:val="20"/>
            <w:szCs w:val="20"/>
            <w:lang w:val="en-US"/>
          </w:rPr>
          <w:t>www.mortgagechoice.com.au</w:t>
        </w:r>
      </w:hyperlink>
      <w:r w:rsidRPr="00F119D7">
        <w:rPr>
          <w:rFonts w:cs="Arial"/>
          <w:sz w:val="20"/>
          <w:szCs w:val="20"/>
          <w:lang w:val="en-US"/>
        </w:rPr>
        <w:t xml:space="preserve"> or call customer service on 13 6678.</w:t>
      </w:r>
    </w:p>
    <w:p w:rsidR="00F119D7" w:rsidRDefault="00F119D7" w:rsidP="00DC60B9">
      <w:pPr>
        <w:pStyle w:val="Heading6"/>
        <w:ind w:left="-284" w:right="-330"/>
        <w:jc w:val="both"/>
        <w:rPr>
          <w:i/>
          <w:iCs/>
          <w:color w:val="auto"/>
          <w:sz w:val="20"/>
          <w:szCs w:val="20"/>
        </w:rPr>
      </w:pPr>
    </w:p>
    <w:p w:rsidR="00DD35A1" w:rsidRPr="00DD35A1" w:rsidRDefault="00DD35A1" w:rsidP="00DD35A1">
      <w:pPr>
        <w:rPr>
          <w:lang w:val="en-US"/>
        </w:rPr>
      </w:pPr>
    </w:p>
    <w:sectPr w:rsidR="00DD35A1" w:rsidRPr="00DD35A1" w:rsidSect="008D4C81">
      <w:headerReference w:type="default" r:id="rId12"/>
      <w:footerReference w:type="default" r:id="rId13"/>
      <w:pgSz w:w="11906" w:h="16838"/>
      <w:pgMar w:top="1553" w:right="1440" w:bottom="851" w:left="1440" w:header="708"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49" w:rsidRDefault="00B76849" w:rsidP="00EB2013">
      <w:pPr>
        <w:spacing w:after="0" w:line="240" w:lineRule="auto"/>
      </w:pPr>
      <w:r>
        <w:separator/>
      </w:r>
    </w:p>
  </w:endnote>
  <w:endnote w:type="continuationSeparator" w:id="0">
    <w:p w:rsidR="00B76849" w:rsidRDefault="00B76849" w:rsidP="00EB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01" w:rsidRDefault="002B5001" w:rsidP="00EB2013">
    <w:pPr>
      <w:pStyle w:val="Footer"/>
      <w:pBdr>
        <w:top w:val="single" w:sz="4" w:space="1" w:color="007491"/>
      </w:pBdr>
      <w:jc w:val="right"/>
    </w:pPr>
  </w:p>
  <w:p w:rsidR="002B5001" w:rsidRDefault="002B5001" w:rsidP="00EB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49" w:rsidRDefault="00B76849" w:rsidP="00EB2013">
      <w:pPr>
        <w:spacing w:after="0" w:line="240" w:lineRule="auto"/>
      </w:pPr>
      <w:r>
        <w:separator/>
      </w:r>
    </w:p>
  </w:footnote>
  <w:footnote w:type="continuationSeparator" w:id="0">
    <w:p w:rsidR="00B76849" w:rsidRDefault="00B76849" w:rsidP="00EB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01" w:rsidRDefault="000C37FA" w:rsidP="00741FB8">
    <w:pPr>
      <w:pStyle w:val="Header"/>
      <w:tabs>
        <w:tab w:val="clear" w:pos="9026"/>
        <w:tab w:val="right" w:pos="9639"/>
      </w:tabs>
      <w:ind w:right="-613"/>
      <w:jc w:val="right"/>
    </w:pPr>
    <w:r w:rsidRPr="00246E05">
      <w:rPr>
        <w:rFonts w:ascii="Verdana" w:hAnsi="Verdana"/>
        <w:b/>
        <w:noProof/>
        <w:sz w:val="28"/>
        <w:szCs w:val="28"/>
        <w:lang w:eastAsia="en-AU"/>
      </w:rPr>
      <w:drawing>
        <wp:inline distT="0" distB="0" distL="0" distR="0">
          <wp:extent cx="2266950" cy="857250"/>
          <wp:effectExtent l="0" t="0" r="0" b="0"/>
          <wp:docPr id="5" name="Picture 5" descr="MC_Logo_Wor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_Word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13"/>
    <w:rsid w:val="000010E3"/>
    <w:rsid w:val="00005BF7"/>
    <w:rsid w:val="00016BB2"/>
    <w:rsid w:val="00026CEB"/>
    <w:rsid w:val="000278D5"/>
    <w:rsid w:val="00043D2A"/>
    <w:rsid w:val="00044887"/>
    <w:rsid w:val="00052BD9"/>
    <w:rsid w:val="00072374"/>
    <w:rsid w:val="000807C2"/>
    <w:rsid w:val="00084BDD"/>
    <w:rsid w:val="000A79B9"/>
    <w:rsid w:val="000B65C1"/>
    <w:rsid w:val="000C37FA"/>
    <w:rsid w:val="000C4797"/>
    <w:rsid w:val="000E05FB"/>
    <w:rsid w:val="00100095"/>
    <w:rsid w:val="001010FC"/>
    <w:rsid w:val="001314B1"/>
    <w:rsid w:val="00134CEB"/>
    <w:rsid w:val="00157A0B"/>
    <w:rsid w:val="00164C1F"/>
    <w:rsid w:val="00180EB6"/>
    <w:rsid w:val="00181F88"/>
    <w:rsid w:val="00184593"/>
    <w:rsid w:val="0019709E"/>
    <w:rsid w:val="001A386B"/>
    <w:rsid w:val="001B5C83"/>
    <w:rsid w:val="001C1234"/>
    <w:rsid w:val="001C6B17"/>
    <w:rsid w:val="001D0E40"/>
    <w:rsid w:val="001E0B09"/>
    <w:rsid w:val="001E5144"/>
    <w:rsid w:val="001F17A8"/>
    <w:rsid w:val="001F2B9E"/>
    <w:rsid w:val="001F2FCF"/>
    <w:rsid w:val="002175E8"/>
    <w:rsid w:val="00225AE9"/>
    <w:rsid w:val="00230777"/>
    <w:rsid w:val="0023688C"/>
    <w:rsid w:val="002400F9"/>
    <w:rsid w:val="00246E05"/>
    <w:rsid w:val="00252F6E"/>
    <w:rsid w:val="00264989"/>
    <w:rsid w:val="00271DEE"/>
    <w:rsid w:val="0027518D"/>
    <w:rsid w:val="00283014"/>
    <w:rsid w:val="002834B4"/>
    <w:rsid w:val="00284AB2"/>
    <w:rsid w:val="002902A5"/>
    <w:rsid w:val="00293D56"/>
    <w:rsid w:val="002A0AEF"/>
    <w:rsid w:val="002A4E48"/>
    <w:rsid w:val="002B5001"/>
    <w:rsid w:val="002B61DA"/>
    <w:rsid w:val="002E0A96"/>
    <w:rsid w:val="002F0953"/>
    <w:rsid w:val="00307B9C"/>
    <w:rsid w:val="00315EF8"/>
    <w:rsid w:val="003338B0"/>
    <w:rsid w:val="00333DE5"/>
    <w:rsid w:val="00346BB2"/>
    <w:rsid w:val="00354E7F"/>
    <w:rsid w:val="00355DD0"/>
    <w:rsid w:val="0036329E"/>
    <w:rsid w:val="0037476B"/>
    <w:rsid w:val="00395D1E"/>
    <w:rsid w:val="003A0655"/>
    <w:rsid w:val="003A3018"/>
    <w:rsid w:val="003A39F9"/>
    <w:rsid w:val="003B6F24"/>
    <w:rsid w:val="003B7517"/>
    <w:rsid w:val="003D3550"/>
    <w:rsid w:val="00406D9C"/>
    <w:rsid w:val="00407C74"/>
    <w:rsid w:val="00411F69"/>
    <w:rsid w:val="0042667C"/>
    <w:rsid w:val="00432DD9"/>
    <w:rsid w:val="00446922"/>
    <w:rsid w:val="00470B2A"/>
    <w:rsid w:val="0048027E"/>
    <w:rsid w:val="00491B2A"/>
    <w:rsid w:val="004976F7"/>
    <w:rsid w:val="004C214C"/>
    <w:rsid w:val="004E0285"/>
    <w:rsid w:val="004E109B"/>
    <w:rsid w:val="004F28E5"/>
    <w:rsid w:val="004F652C"/>
    <w:rsid w:val="005012C1"/>
    <w:rsid w:val="00510827"/>
    <w:rsid w:val="005315CC"/>
    <w:rsid w:val="005350C7"/>
    <w:rsid w:val="00540A8A"/>
    <w:rsid w:val="005457F6"/>
    <w:rsid w:val="0054689D"/>
    <w:rsid w:val="00554648"/>
    <w:rsid w:val="0057140A"/>
    <w:rsid w:val="00571896"/>
    <w:rsid w:val="00577082"/>
    <w:rsid w:val="005A01A5"/>
    <w:rsid w:val="005A245D"/>
    <w:rsid w:val="005B66F7"/>
    <w:rsid w:val="005B6B10"/>
    <w:rsid w:val="005D71D2"/>
    <w:rsid w:val="005F4C47"/>
    <w:rsid w:val="006006E7"/>
    <w:rsid w:val="006024BF"/>
    <w:rsid w:val="006047BB"/>
    <w:rsid w:val="0061544A"/>
    <w:rsid w:val="00627C62"/>
    <w:rsid w:val="00635DB8"/>
    <w:rsid w:val="006362D1"/>
    <w:rsid w:val="006472AC"/>
    <w:rsid w:val="006547CC"/>
    <w:rsid w:val="006658C0"/>
    <w:rsid w:val="00670E3F"/>
    <w:rsid w:val="00676B5F"/>
    <w:rsid w:val="00680CBB"/>
    <w:rsid w:val="00681D9D"/>
    <w:rsid w:val="006A145C"/>
    <w:rsid w:val="006A6E59"/>
    <w:rsid w:val="006F4897"/>
    <w:rsid w:val="006F61A2"/>
    <w:rsid w:val="006F7D94"/>
    <w:rsid w:val="00700E32"/>
    <w:rsid w:val="00714242"/>
    <w:rsid w:val="00714B16"/>
    <w:rsid w:val="00741FB8"/>
    <w:rsid w:val="00753338"/>
    <w:rsid w:val="007621C0"/>
    <w:rsid w:val="00780BBC"/>
    <w:rsid w:val="007A64EA"/>
    <w:rsid w:val="007C4CBE"/>
    <w:rsid w:val="007C56D1"/>
    <w:rsid w:val="007E344F"/>
    <w:rsid w:val="00802017"/>
    <w:rsid w:val="0082046E"/>
    <w:rsid w:val="0082443C"/>
    <w:rsid w:val="00826205"/>
    <w:rsid w:val="00837CF1"/>
    <w:rsid w:val="00842425"/>
    <w:rsid w:val="00845677"/>
    <w:rsid w:val="00853BE0"/>
    <w:rsid w:val="008546DC"/>
    <w:rsid w:val="00865660"/>
    <w:rsid w:val="00880743"/>
    <w:rsid w:val="00890700"/>
    <w:rsid w:val="008C6BFC"/>
    <w:rsid w:val="008C7593"/>
    <w:rsid w:val="008D0426"/>
    <w:rsid w:val="008D4C81"/>
    <w:rsid w:val="008E58F9"/>
    <w:rsid w:val="008F58BC"/>
    <w:rsid w:val="00916927"/>
    <w:rsid w:val="009253C1"/>
    <w:rsid w:val="0093336F"/>
    <w:rsid w:val="00944CA8"/>
    <w:rsid w:val="00946ADF"/>
    <w:rsid w:val="00963CA4"/>
    <w:rsid w:val="009803F2"/>
    <w:rsid w:val="009A4489"/>
    <w:rsid w:val="009A69B0"/>
    <w:rsid w:val="009B57E1"/>
    <w:rsid w:val="009B757A"/>
    <w:rsid w:val="009B7593"/>
    <w:rsid w:val="009C23C3"/>
    <w:rsid w:val="009D1C74"/>
    <w:rsid w:val="009F129F"/>
    <w:rsid w:val="009F1588"/>
    <w:rsid w:val="009F1FFE"/>
    <w:rsid w:val="009F3E49"/>
    <w:rsid w:val="00A06070"/>
    <w:rsid w:val="00A24A1F"/>
    <w:rsid w:val="00A34766"/>
    <w:rsid w:val="00A40BE1"/>
    <w:rsid w:val="00A51C86"/>
    <w:rsid w:val="00A51E84"/>
    <w:rsid w:val="00A5223C"/>
    <w:rsid w:val="00A52A9B"/>
    <w:rsid w:val="00A6604B"/>
    <w:rsid w:val="00A750B7"/>
    <w:rsid w:val="00AA0BE7"/>
    <w:rsid w:val="00AB0437"/>
    <w:rsid w:val="00AD5ACB"/>
    <w:rsid w:val="00AD6832"/>
    <w:rsid w:val="00AE6021"/>
    <w:rsid w:val="00AF009F"/>
    <w:rsid w:val="00AF1AAC"/>
    <w:rsid w:val="00B025FA"/>
    <w:rsid w:val="00B21F66"/>
    <w:rsid w:val="00B301F1"/>
    <w:rsid w:val="00B634BC"/>
    <w:rsid w:val="00B76849"/>
    <w:rsid w:val="00B80015"/>
    <w:rsid w:val="00B8094B"/>
    <w:rsid w:val="00BA4736"/>
    <w:rsid w:val="00BB3723"/>
    <w:rsid w:val="00BC14D2"/>
    <w:rsid w:val="00BC6318"/>
    <w:rsid w:val="00BD1E1E"/>
    <w:rsid w:val="00BD4438"/>
    <w:rsid w:val="00BE1229"/>
    <w:rsid w:val="00BF1C88"/>
    <w:rsid w:val="00BF2560"/>
    <w:rsid w:val="00BF6052"/>
    <w:rsid w:val="00C105EC"/>
    <w:rsid w:val="00C13B1D"/>
    <w:rsid w:val="00C23F1D"/>
    <w:rsid w:val="00C47A76"/>
    <w:rsid w:val="00C665AD"/>
    <w:rsid w:val="00C8728B"/>
    <w:rsid w:val="00C9604F"/>
    <w:rsid w:val="00C97DC4"/>
    <w:rsid w:val="00CA6DD6"/>
    <w:rsid w:val="00CB3E9F"/>
    <w:rsid w:val="00CC12E0"/>
    <w:rsid w:val="00CE50A9"/>
    <w:rsid w:val="00CE735F"/>
    <w:rsid w:val="00CF6EE9"/>
    <w:rsid w:val="00D03014"/>
    <w:rsid w:val="00D3454B"/>
    <w:rsid w:val="00D34FCD"/>
    <w:rsid w:val="00D62BED"/>
    <w:rsid w:val="00DA1793"/>
    <w:rsid w:val="00DA73E4"/>
    <w:rsid w:val="00DB310A"/>
    <w:rsid w:val="00DC320E"/>
    <w:rsid w:val="00DC60B9"/>
    <w:rsid w:val="00DD0EF9"/>
    <w:rsid w:val="00DD35A1"/>
    <w:rsid w:val="00DE040A"/>
    <w:rsid w:val="00DE29A2"/>
    <w:rsid w:val="00DE2D0E"/>
    <w:rsid w:val="00DF4F5C"/>
    <w:rsid w:val="00DF7D17"/>
    <w:rsid w:val="00E01BB9"/>
    <w:rsid w:val="00E01EA9"/>
    <w:rsid w:val="00E2430F"/>
    <w:rsid w:val="00E30A77"/>
    <w:rsid w:val="00E372A9"/>
    <w:rsid w:val="00E47FA0"/>
    <w:rsid w:val="00E538F1"/>
    <w:rsid w:val="00E55E37"/>
    <w:rsid w:val="00E56675"/>
    <w:rsid w:val="00E71D97"/>
    <w:rsid w:val="00E8297C"/>
    <w:rsid w:val="00E84DDA"/>
    <w:rsid w:val="00E94A8F"/>
    <w:rsid w:val="00E95658"/>
    <w:rsid w:val="00EB2013"/>
    <w:rsid w:val="00EB62A8"/>
    <w:rsid w:val="00EB7C8B"/>
    <w:rsid w:val="00ED22A4"/>
    <w:rsid w:val="00ED5582"/>
    <w:rsid w:val="00ED5964"/>
    <w:rsid w:val="00ED6A7E"/>
    <w:rsid w:val="00F117B6"/>
    <w:rsid w:val="00F119D7"/>
    <w:rsid w:val="00F17099"/>
    <w:rsid w:val="00F253AC"/>
    <w:rsid w:val="00F32CBA"/>
    <w:rsid w:val="00F649F0"/>
    <w:rsid w:val="00F74EAE"/>
    <w:rsid w:val="00F84F50"/>
    <w:rsid w:val="00F910F4"/>
    <w:rsid w:val="00FA5CF5"/>
    <w:rsid w:val="00FB00BB"/>
    <w:rsid w:val="00FB60ED"/>
    <w:rsid w:val="00FC0A47"/>
    <w:rsid w:val="00FD10F7"/>
    <w:rsid w:val="00FD277B"/>
    <w:rsid w:val="00FE591C"/>
    <w:rsid w:val="00FE70AC"/>
    <w:rsid w:val="00FF2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E98C2D16-3125-476F-BF13-012BDEF3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A4"/>
    <w:pPr>
      <w:spacing w:after="200" w:line="276" w:lineRule="auto"/>
    </w:pPr>
    <w:rPr>
      <w:sz w:val="22"/>
      <w:szCs w:val="22"/>
      <w:lang w:eastAsia="en-US"/>
    </w:rPr>
  </w:style>
  <w:style w:type="paragraph" w:styleId="Heading6">
    <w:name w:val="heading 6"/>
    <w:basedOn w:val="Normal"/>
    <w:next w:val="Normal"/>
    <w:link w:val="Heading6Char"/>
    <w:qFormat/>
    <w:rsid w:val="00F119D7"/>
    <w:pPr>
      <w:keepNext/>
      <w:spacing w:after="0" w:line="240" w:lineRule="auto"/>
      <w:outlineLvl w:val="5"/>
    </w:pPr>
    <w:rPr>
      <w:rFonts w:ascii="Arial" w:eastAsia="Times New Roman" w:hAnsi="Arial" w:cs="Arial"/>
      <w:b/>
      <w:color w:val="00000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013"/>
  </w:style>
  <w:style w:type="paragraph" w:styleId="Footer">
    <w:name w:val="footer"/>
    <w:basedOn w:val="Normal"/>
    <w:link w:val="FooterChar"/>
    <w:uiPriority w:val="99"/>
    <w:unhideWhenUsed/>
    <w:rsid w:val="00EB2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013"/>
  </w:style>
  <w:style w:type="paragraph" w:styleId="BalloonText">
    <w:name w:val="Balloon Text"/>
    <w:basedOn w:val="Normal"/>
    <w:link w:val="BalloonTextChar"/>
    <w:uiPriority w:val="99"/>
    <w:semiHidden/>
    <w:unhideWhenUsed/>
    <w:rsid w:val="00EB2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013"/>
    <w:rPr>
      <w:rFonts w:ascii="Tahoma" w:hAnsi="Tahoma" w:cs="Tahoma"/>
      <w:sz w:val="16"/>
      <w:szCs w:val="16"/>
    </w:rPr>
  </w:style>
  <w:style w:type="character" w:customStyle="1" w:styleId="Heading6Char">
    <w:name w:val="Heading 6 Char"/>
    <w:link w:val="Heading6"/>
    <w:rsid w:val="00F119D7"/>
    <w:rPr>
      <w:rFonts w:ascii="Arial" w:eastAsia="Times New Roman" w:hAnsi="Arial" w:cs="Arial"/>
      <w:b/>
      <w:color w:val="000000"/>
      <w:szCs w:val="18"/>
      <w:u w:val="single"/>
      <w:lang w:val="en-US"/>
    </w:rPr>
  </w:style>
  <w:style w:type="character" w:styleId="Hyperlink">
    <w:name w:val="Hyperlink"/>
    <w:semiHidden/>
    <w:rsid w:val="00F119D7"/>
    <w:rPr>
      <w:color w:val="336699"/>
      <w:u w:val="single"/>
    </w:rPr>
  </w:style>
  <w:style w:type="paragraph" w:styleId="BodyText">
    <w:name w:val="Body Text"/>
    <w:basedOn w:val="Normal"/>
    <w:link w:val="BodyTextChar"/>
    <w:semiHidden/>
    <w:rsid w:val="00F119D7"/>
    <w:pPr>
      <w:spacing w:after="0" w:line="240" w:lineRule="auto"/>
      <w:jc w:val="both"/>
    </w:pPr>
    <w:rPr>
      <w:rFonts w:ascii="Times New Roman" w:eastAsia="Times New Roman" w:hAnsi="Times New Roman"/>
      <w:sz w:val="24"/>
      <w:szCs w:val="24"/>
      <w:lang w:val="en-US"/>
    </w:rPr>
  </w:style>
  <w:style w:type="character" w:customStyle="1" w:styleId="BodyTextChar">
    <w:name w:val="Body Text Char"/>
    <w:link w:val="BodyText"/>
    <w:semiHidden/>
    <w:rsid w:val="00F119D7"/>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F119D7"/>
    <w:pPr>
      <w:ind w:left="720"/>
      <w:contextualSpacing/>
    </w:pPr>
    <w:rPr>
      <w:lang w:val="en-US"/>
    </w:rPr>
  </w:style>
  <w:style w:type="character" w:styleId="FollowedHyperlink">
    <w:name w:val="FollowedHyperlink"/>
    <w:uiPriority w:val="99"/>
    <w:semiHidden/>
    <w:unhideWhenUsed/>
    <w:rsid w:val="00DC60B9"/>
    <w:rPr>
      <w:color w:val="800080"/>
      <w:u w:val="single"/>
    </w:rPr>
  </w:style>
  <w:style w:type="paragraph" w:styleId="NoSpacing">
    <w:name w:val="No Spacing"/>
    <w:uiPriority w:val="1"/>
    <w:qFormat/>
    <w:rsid w:val="006472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rtgagechoice.com.au/about-us/homeloan-choices-newslet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rtgagechoice.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endan.wong@mortgagechoice.com.au" TargetMode="External"/><Relationship Id="rId4" Type="http://schemas.openxmlformats.org/officeDocument/2006/relationships/webSettings" Target="webSettings.xml"/><Relationship Id="rId9" Type="http://schemas.openxmlformats.org/officeDocument/2006/relationships/hyperlink" Target="mailto:jessica.darnbrough@mortgagechoice.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3C1D7-D784-49C3-8DCE-AB8D365B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Mortgage Choice Australia Ltd.</Company>
  <LinksUpToDate>false</LinksUpToDate>
  <CharactersWithSpaces>5600</CharactersWithSpaces>
  <SharedDoc>false</SharedDoc>
  <HLinks>
    <vt:vector size="24" baseType="variant">
      <vt:variant>
        <vt:i4>4259908</vt:i4>
      </vt:variant>
      <vt:variant>
        <vt:i4>9</vt:i4>
      </vt:variant>
      <vt:variant>
        <vt:i4>0</vt:i4>
      </vt:variant>
      <vt:variant>
        <vt:i4>5</vt:i4>
      </vt:variant>
      <vt:variant>
        <vt:lpwstr>http://www.mortgagechoice.com.au/</vt:lpwstr>
      </vt:variant>
      <vt:variant>
        <vt:lpwstr/>
      </vt:variant>
      <vt:variant>
        <vt:i4>6291520</vt:i4>
      </vt:variant>
      <vt:variant>
        <vt:i4>6</vt:i4>
      </vt:variant>
      <vt:variant>
        <vt:i4>0</vt:i4>
      </vt:variant>
      <vt:variant>
        <vt:i4>5</vt:i4>
      </vt:variant>
      <vt:variant>
        <vt:lpwstr>mailto:lauren.booke@mortgagechoice.com.au</vt:lpwstr>
      </vt:variant>
      <vt:variant>
        <vt:lpwstr/>
      </vt:variant>
      <vt:variant>
        <vt:i4>5177468</vt:i4>
      </vt:variant>
      <vt:variant>
        <vt:i4>3</vt:i4>
      </vt:variant>
      <vt:variant>
        <vt:i4>0</vt:i4>
      </vt:variant>
      <vt:variant>
        <vt:i4>5</vt:i4>
      </vt:variant>
      <vt:variant>
        <vt:lpwstr>mailto:jesssica.darnbrough@mortgagechoice.com.au</vt:lpwstr>
      </vt:variant>
      <vt:variant>
        <vt:lpwstr/>
      </vt:variant>
      <vt:variant>
        <vt:i4>1179721</vt:i4>
      </vt:variant>
      <vt:variant>
        <vt:i4>0</vt:i4>
      </vt:variant>
      <vt:variant>
        <vt:i4>0</vt:i4>
      </vt:variant>
      <vt:variant>
        <vt:i4>5</vt:i4>
      </vt:variant>
      <vt:variant>
        <vt:lpwstr>http://www.mortgagechoice.com.au/about-us/homeloan-choices-newsletter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lthompson</dc:creator>
  <cp:keywords/>
  <cp:lastModifiedBy>Jessica Darnbrough</cp:lastModifiedBy>
  <cp:revision>2</cp:revision>
  <cp:lastPrinted>2015-08-03T03:52:00Z</cp:lastPrinted>
  <dcterms:created xsi:type="dcterms:W3CDTF">2017-01-05T23:12:00Z</dcterms:created>
  <dcterms:modified xsi:type="dcterms:W3CDTF">2017-01-05T23:12:00Z</dcterms:modified>
</cp:coreProperties>
</file>