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667D0" w14:textId="2C6E307B" w:rsidR="00C5075D" w:rsidRDefault="00121D00" w:rsidP="00C5075D">
      <w:pPr>
        <w:spacing w:after="0" w:line="240" w:lineRule="auto"/>
        <w:ind w:left="-284" w:right="-330"/>
        <w:rPr>
          <w:b/>
          <w:color w:val="007491"/>
          <w:sz w:val="30"/>
          <w:szCs w:val="30"/>
        </w:rPr>
      </w:pPr>
      <w:r>
        <w:rPr>
          <w:b/>
          <w:color w:val="007491"/>
          <w:sz w:val="30"/>
          <w:szCs w:val="30"/>
        </w:rPr>
        <w:t>Homeloan Choices Bulletin</w:t>
      </w:r>
    </w:p>
    <w:p w14:paraId="7A6960E3" w14:textId="6B570DD2" w:rsidR="00C5075D" w:rsidRDefault="00E54298" w:rsidP="00C5075D">
      <w:pPr>
        <w:spacing w:after="0" w:line="240" w:lineRule="auto"/>
        <w:ind w:left="-284" w:right="-330"/>
        <w:rPr>
          <w:b/>
          <w:color w:val="007491"/>
        </w:rPr>
      </w:pPr>
      <w:r>
        <w:rPr>
          <w:b/>
          <w:color w:val="007491"/>
        </w:rPr>
        <w:t>Vol 131 - October</w:t>
      </w:r>
      <w:r w:rsidR="00121D00">
        <w:rPr>
          <w:b/>
          <w:color w:val="007491"/>
        </w:rPr>
        <w:t xml:space="preserve"> 2017</w:t>
      </w:r>
    </w:p>
    <w:p w14:paraId="37B6EBDC" w14:textId="77777777" w:rsidR="00C5075D" w:rsidRDefault="00C5075D" w:rsidP="00C5075D">
      <w:pPr>
        <w:spacing w:after="0" w:line="240" w:lineRule="auto"/>
        <w:ind w:left="-284" w:right="-330"/>
        <w:rPr>
          <w:b/>
          <w:color w:val="007491"/>
          <w:sz w:val="18"/>
        </w:rPr>
      </w:pPr>
    </w:p>
    <w:p w14:paraId="7F833973" w14:textId="77777777" w:rsidR="00C5075D" w:rsidRDefault="00C5075D" w:rsidP="00C5075D">
      <w:pPr>
        <w:spacing w:after="0" w:line="240" w:lineRule="auto"/>
        <w:ind w:left="-284" w:right="-330"/>
        <w:rPr>
          <w:b/>
          <w:color w:val="007491"/>
          <w:sz w:val="18"/>
        </w:rPr>
      </w:pPr>
    </w:p>
    <w:p w14:paraId="0FF18D50" w14:textId="0766CB8B" w:rsidR="005F625B" w:rsidRPr="005F625B" w:rsidRDefault="005467E8" w:rsidP="005F625B">
      <w:pPr>
        <w:spacing w:after="0" w:line="240" w:lineRule="auto"/>
        <w:ind w:left="-284" w:right="-330"/>
        <w:jc w:val="center"/>
        <w:rPr>
          <w:b/>
          <w:color w:val="007491"/>
          <w:sz w:val="44"/>
          <w:szCs w:val="33"/>
        </w:rPr>
      </w:pPr>
      <w:r>
        <w:rPr>
          <w:b/>
          <w:color w:val="007491"/>
          <w:sz w:val="44"/>
          <w:szCs w:val="33"/>
        </w:rPr>
        <w:t>Fixed rate demand drops but remains high</w:t>
      </w:r>
    </w:p>
    <w:p w14:paraId="4AEBB44D" w14:textId="77777777" w:rsidR="00705C2F" w:rsidRDefault="00705C2F" w:rsidP="00E553FF">
      <w:pPr>
        <w:spacing w:after="0" w:line="240" w:lineRule="auto"/>
        <w:ind w:left="-284" w:right="-330"/>
        <w:rPr>
          <w:rFonts w:cs="Calibri"/>
        </w:rPr>
      </w:pPr>
    </w:p>
    <w:p w14:paraId="08FB50E1" w14:textId="77777777" w:rsidR="00013D54" w:rsidRDefault="00013D54" w:rsidP="00E553FF">
      <w:pPr>
        <w:spacing w:after="0" w:line="240" w:lineRule="auto"/>
        <w:ind w:left="-284" w:right="-330"/>
        <w:rPr>
          <w:rFonts w:cs="Calibri"/>
        </w:rPr>
      </w:pPr>
      <w:r>
        <w:rPr>
          <w:rFonts w:cs="Calibri"/>
        </w:rPr>
        <w:t>Fixed rate demand dipped slightly over the month of September, according to new data.</w:t>
      </w:r>
    </w:p>
    <w:p w14:paraId="28830424" w14:textId="77777777" w:rsidR="00013D54" w:rsidRDefault="00013D54" w:rsidP="00E553FF">
      <w:pPr>
        <w:spacing w:after="0" w:line="240" w:lineRule="auto"/>
        <w:ind w:left="-284" w:right="-330"/>
        <w:rPr>
          <w:rFonts w:cs="Calibri"/>
        </w:rPr>
      </w:pPr>
    </w:p>
    <w:p w14:paraId="0A919A12" w14:textId="2D81BE2D" w:rsidR="00E12CD4" w:rsidRDefault="005467E8" w:rsidP="00E553FF">
      <w:pPr>
        <w:spacing w:after="0" w:line="240" w:lineRule="auto"/>
        <w:ind w:left="-284" w:right="-330"/>
        <w:rPr>
          <w:rFonts w:cs="Calibri"/>
        </w:rPr>
      </w:pPr>
      <w:r>
        <w:rPr>
          <w:rFonts w:cs="Calibri"/>
        </w:rPr>
        <w:t xml:space="preserve">The latest national home loan approval data from Mortgage Choice found fixed rate home loans </w:t>
      </w:r>
      <w:r w:rsidR="00210625">
        <w:rPr>
          <w:rFonts w:cs="Calibri"/>
        </w:rPr>
        <w:t>accounted for 28.33% of all mortgages</w:t>
      </w:r>
      <w:r>
        <w:rPr>
          <w:rFonts w:cs="Calibri"/>
        </w:rPr>
        <w:t xml:space="preserve"> written throughout September, down from 31.05% in August. </w:t>
      </w:r>
    </w:p>
    <w:p w14:paraId="19F5C502" w14:textId="77777777" w:rsidR="005467E8" w:rsidRDefault="005467E8" w:rsidP="00E553FF">
      <w:pPr>
        <w:spacing w:after="0" w:line="240" w:lineRule="auto"/>
        <w:ind w:left="-284" w:right="-330"/>
        <w:rPr>
          <w:rFonts w:cs="Calibri"/>
        </w:rPr>
      </w:pPr>
    </w:p>
    <w:p w14:paraId="308617E7" w14:textId="310BFDE5" w:rsidR="005467E8" w:rsidRDefault="004D5AFE" w:rsidP="00E553FF">
      <w:pPr>
        <w:spacing w:after="0" w:line="240" w:lineRule="auto"/>
        <w:ind w:left="-284" w:right="-330"/>
        <w:rPr>
          <w:rFonts w:cs="Calibri"/>
        </w:rPr>
      </w:pPr>
      <w:r>
        <w:rPr>
          <w:rFonts w:cs="Calibri"/>
        </w:rPr>
        <w:t>“While we did see a slight dip in overall demand for fixed rate products</w:t>
      </w:r>
      <w:r w:rsidR="00DD464E">
        <w:rPr>
          <w:rFonts w:cs="Calibri"/>
        </w:rPr>
        <w:t xml:space="preserve"> last month</w:t>
      </w:r>
      <w:r>
        <w:rPr>
          <w:rFonts w:cs="Calibri"/>
        </w:rPr>
        <w:t>, the proportion of borr</w:t>
      </w:r>
      <w:r w:rsidR="00DD464E">
        <w:rPr>
          <w:rFonts w:cs="Calibri"/>
        </w:rPr>
        <w:t xml:space="preserve">owers looking to fix their mortgage is still significantly higher than we have seen historically,” </w:t>
      </w:r>
      <w:r w:rsidR="00B1179D">
        <w:rPr>
          <w:rFonts w:cs="Calibri"/>
        </w:rPr>
        <w:t xml:space="preserve">Mortgage Choice chief executive officer John Flavell said. </w:t>
      </w:r>
    </w:p>
    <w:p w14:paraId="3418032C" w14:textId="77777777" w:rsidR="00DD464E" w:rsidRDefault="00DD464E" w:rsidP="00E553FF">
      <w:pPr>
        <w:spacing w:after="0" w:line="240" w:lineRule="auto"/>
        <w:ind w:left="-284" w:right="-330"/>
        <w:rPr>
          <w:rFonts w:cs="Calibri"/>
        </w:rPr>
      </w:pPr>
    </w:p>
    <w:p w14:paraId="183E85AE" w14:textId="456C5903" w:rsidR="00DD464E" w:rsidRDefault="00DD464E" w:rsidP="00E553FF">
      <w:pPr>
        <w:spacing w:after="0" w:line="240" w:lineRule="auto"/>
        <w:ind w:left="-284" w:right="-330"/>
        <w:rPr>
          <w:rFonts w:cs="Calibri"/>
        </w:rPr>
      </w:pPr>
      <w:r>
        <w:rPr>
          <w:rFonts w:cs="Calibri"/>
        </w:rPr>
        <w:t>“</w:t>
      </w:r>
      <w:r w:rsidR="008F4D64">
        <w:rPr>
          <w:rFonts w:cs="Calibri"/>
        </w:rPr>
        <w:t xml:space="preserve">Traditionally, less than 25% of all borrowers chose to fix part or all of their home loan. In the last six months however, the average proportion of borrowers looking to fix their rate has jumped above 25% to 27.81%. </w:t>
      </w:r>
    </w:p>
    <w:p w14:paraId="689FB110" w14:textId="77777777" w:rsidR="008F4D64" w:rsidRDefault="008F4D64" w:rsidP="00E553FF">
      <w:pPr>
        <w:spacing w:after="0" w:line="240" w:lineRule="auto"/>
        <w:ind w:left="-284" w:right="-330"/>
        <w:rPr>
          <w:rFonts w:cs="Calibri"/>
        </w:rPr>
      </w:pPr>
    </w:p>
    <w:p w14:paraId="51589F02" w14:textId="015F5A66" w:rsidR="008F4D64" w:rsidRDefault="008F4D64" w:rsidP="00E553FF">
      <w:pPr>
        <w:spacing w:after="0" w:line="240" w:lineRule="auto"/>
        <w:ind w:left="-284" w:right="-330"/>
        <w:rPr>
          <w:rFonts w:cs="Calibri"/>
        </w:rPr>
      </w:pPr>
      <w:r>
        <w:rPr>
          <w:rFonts w:cs="Calibri"/>
        </w:rPr>
        <w:t>“From this data we can see that a growing proportion of borrowers are keenly searching for some surety and security when it comes to their regular mortgage repayments.”</w:t>
      </w:r>
    </w:p>
    <w:p w14:paraId="421BBE6A" w14:textId="77777777" w:rsidR="008F4D64" w:rsidRDefault="008F4D64" w:rsidP="00E553FF">
      <w:pPr>
        <w:spacing w:after="0" w:line="240" w:lineRule="auto"/>
        <w:ind w:left="-284" w:right="-330"/>
        <w:rPr>
          <w:rFonts w:cs="Calibri"/>
        </w:rPr>
      </w:pPr>
    </w:p>
    <w:p w14:paraId="3D64CDAA" w14:textId="38141B75" w:rsidR="008F4D64" w:rsidRDefault="008F4D64" w:rsidP="00E553FF">
      <w:pPr>
        <w:spacing w:after="0" w:line="240" w:lineRule="auto"/>
        <w:ind w:left="-284" w:right="-330"/>
        <w:rPr>
          <w:rFonts w:cs="Calibri"/>
        </w:rPr>
      </w:pPr>
      <w:r>
        <w:rPr>
          <w:rFonts w:cs="Calibri"/>
        </w:rPr>
        <w:t>Despite the fact that the Reserve Bank chose to leave the official cash rate on hold at 1.5% for the 14</w:t>
      </w:r>
      <w:r w:rsidRPr="008F4D64">
        <w:rPr>
          <w:rFonts w:cs="Calibri"/>
          <w:vertAlign w:val="superscript"/>
        </w:rPr>
        <w:t>th</w:t>
      </w:r>
      <w:r>
        <w:rPr>
          <w:rFonts w:cs="Calibri"/>
        </w:rPr>
        <w:t xml:space="preserve"> consecutive month, Mr Flavell said future rate rises are now inevitable and borrowers are acutely aware of this fact. </w:t>
      </w:r>
    </w:p>
    <w:p w14:paraId="278A68E3" w14:textId="77777777" w:rsidR="00B1179D" w:rsidRDefault="00B1179D" w:rsidP="00E553FF">
      <w:pPr>
        <w:spacing w:after="0" w:line="240" w:lineRule="auto"/>
        <w:ind w:left="-284" w:right="-330"/>
        <w:rPr>
          <w:rFonts w:cs="Calibri"/>
        </w:rPr>
      </w:pPr>
    </w:p>
    <w:p w14:paraId="202FC4CC" w14:textId="51598F63" w:rsidR="00364CB6" w:rsidRDefault="008F4D64" w:rsidP="00B1179D">
      <w:pPr>
        <w:spacing w:after="0" w:line="240" w:lineRule="auto"/>
        <w:ind w:left="-284" w:right="-330"/>
        <w:rPr>
          <w:rFonts w:cs="Calibri"/>
        </w:rPr>
      </w:pPr>
      <w:r>
        <w:rPr>
          <w:rFonts w:cs="Calibri"/>
        </w:rPr>
        <w:t>“T</w:t>
      </w:r>
      <w:r w:rsidR="00364CB6">
        <w:rPr>
          <w:rFonts w:cs="Calibri"/>
        </w:rPr>
        <w:t xml:space="preserve">he cash rate is not going to remain at this level forever and </w:t>
      </w:r>
      <w:r w:rsidR="001A2E88">
        <w:rPr>
          <w:rFonts w:cs="Calibri"/>
        </w:rPr>
        <w:t xml:space="preserve">it is inevitable that </w:t>
      </w:r>
      <w:r>
        <w:rPr>
          <w:rFonts w:cs="Calibri"/>
        </w:rPr>
        <w:t>the Board will look to increase the current moneta</w:t>
      </w:r>
      <w:r w:rsidR="00CA5F0F">
        <w:rPr>
          <w:rFonts w:cs="Calibri"/>
        </w:rPr>
        <w:t>ry policy setting at some point</w:t>
      </w:r>
      <w:bookmarkStart w:id="0" w:name="_GoBack"/>
      <w:bookmarkEnd w:id="0"/>
      <w:r w:rsidR="00B7693F">
        <w:rPr>
          <w:rFonts w:cs="Calibri"/>
        </w:rPr>
        <w:t xml:space="preserve">,” he said. </w:t>
      </w:r>
    </w:p>
    <w:p w14:paraId="4D045B4B" w14:textId="77777777" w:rsidR="008F4D64" w:rsidRDefault="008F4D64" w:rsidP="00B1179D">
      <w:pPr>
        <w:spacing w:after="0" w:line="240" w:lineRule="auto"/>
        <w:ind w:left="-284" w:right="-330"/>
        <w:rPr>
          <w:rFonts w:cs="Calibri"/>
        </w:rPr>
      </w:pPr>
    </w:p>
    <w:p w14:paraId="2B0EF0E5" w14:textId="6B62EDB5" w:rsidR="00B1179D" w:rsidRDefault="008F4D64" w:rsidP="00B1179D">
      <w:pPr>
        <w:spacing w:after="0" w:line="240" w:lineRule="auto"/>
        <w:ind w:left="-284" w:right="-330"/>
        <w:rPr>
          <w:rFonts w:cs="Calibri"/>
        </w:rPr>
      </w:pPr>
      <w:r>
        <w:rPr>
          <w:rFonts w:cs="Calibri"/>
        </w:rPr>
        <w:t xml:space="preserve">“When you combine the threat of potential rate increases with the fact that many of Australia’s lenders are </w:t>
      </w:r>
      <w:r w:rsidR="00B7693F">
        <w:rPr>
          <w:rFonts w:cs="Calibri"/>
        </w:rPr>
        <w:t xml:space="preserve">currently offering some very sharp fixed rate products, it is only fair to assume that we </w:t>
      </w:r>
      <w:r w:rsidR="00772E2F">
        <w:rPr>
          <w:rFonts w:cs="Calibri"/>
        </w:rPr>
        <w:t>will</w:t>
      </w:r>
      <w:r w:rsidR="00B7693F">
        <w:rPr>
          <w:rFonts w:cs="Calibri"/>
        </w:rPr>
        <w:t xml:space="preserve"> contin</w:t>
      </w:r>
      <w:r w:rsidR="00772E2F">
        <w:rPr>
          <w:rFonts w:cs="Calibri"/>
        </w:rPr>
        <w:t>ue to see strong demand for fixed rate home loans</w:t>
      </w:r>
      <w:r w:rsidR="00B7693F">
        <w:rPr>
          <w:rFonts w:cs="Calibri"/>
        </w:rPr>
        <w:t>.”</w:t>
      </w:r>
    </w:p>
    <w:p w14:paraId="0DA06661" w14:textId="77777777" w:rsidR="00E60019" w:rsidRDefault="00E60019" w:rsidP="00B1179D">
      <w:pPr>
        <w:spacing w:after="0" w:line="240" w:lineRule="auto"/>
        <w:ind w:left="-284" w:right="-330"/>
        <w:rPr>
          <w:rFonts w:cs="Calibri"/>
        </w:rPr>
      </w:pPr>
    </w:p>
    <w:p w14:paraId="1F999075" w14:textId="196C411B" w:rsidR="00EE167C" w:rsidRDefault="00E60019" w:rsidP="00B1179D">
      <w:pPr>
        <w:spacing w:after="0" w:line="240" w:lineRule="auto"/>
        <w:ind w:left="-284" w:right="-330"/>
        <w:rPr>
          <w:rFonts w:cs="Calibri"/>
        </w:rPr>
      </w:pPr>
      <w:r>
        <w:rPr>
          <w:rFonts w:cs="Calibri"/>
        </w:rPr>
        <w:t>Across</w:t>
      </w:r>
      <w:r w:rsidR="00EE167C">
        <w:rPr>
          <w:rFonts w:cs="Calibri"/>
        </w:rPr>
        <w:t xml:space="preserve"> the country, Queensland had the highest leve</w:t>
      </w:r>
      <w:r w:rsidR="00772E2F">
        <w:rPr>
          <w:rFonts w:cs="Calibri"/>
        </w:rPr>
        <w:t>l of fixed rate demand, with this type of</w:t>
      </w:r>
      <w:r w:rsidR="00EE167C">
        <w:rPr>
          <w:rFonts w:cs="Calibri"/>
        </w:rPr>
        <w:t xml:space="preserve"> product accounting for 29.01% of all loans written throughout </w:t>
      </w:r>
      <w:r w:rsidR="00772E2F">
        <w:rPr>
          <w:rFonts w:cs="Calibri"/>
        </w:rPr>
        <w:t>September</w:t>
      </w:r>
      <w:r w:rsidR="00EE167C">
        <w:rPr>
          <w:rFonts w:cs="Calibri"/>
        </w:rPr>
        <w:t xml:space="preserve">. </w:t>
      </w:r>
    </w:p>
    <w:p w14:paraId="14965278" w14:textId="77777777" w:rsidR="00EE167C" w:rsidRDefault="00EE167C" w:rsidP="00B1179D">
      <w:pPr>
        <w:spacing w:after="0" w:line="240" w:lineRule="auto"/>
        <w:ind w:left="-284" w:right="-330"/>
        <w:rPr>
          <w:rFonts w:cs="Calibri"/>
        </w:rPr>
      </w:pPr>
    </w:p>
    <w:p w14:paraId="4028FA2D" w14:textId="63B90E82" w:rsidR="00EE167C" w:rsidRDefault="00EE167C" w:rsidP="00B1179D">
      <w:pPr>
        <w:spacing w:after="0" w:line="240" w:lineRule="auto"/>
        <w:ind w:left="-284" w:right="-330"/>
        <w:rPr>
          <w:rFonts w:cs="Calibri"/>
        </w:rPr>
      </w:pPr>
      <w:r>
        <w:rPr>
          <w:rFonts w:cs="Calibri"/>
        </w:rPr>
        <w:t xml:space="preserve">This was followed by Western Australia, where fixed rate loans accounted for 28.23% of all loans written, and Victoria, where fixed rate loans accounted for 28.08% of all loans written. </w:t>
      </w:r>
    </w:p>
    <w:p w14:paraId="4D6E6A3E" w14:textId="77777777" w:rsidR="00EE167C" w:rsidRDefault="00EE167C" w:rsidP="00B1179D">
      <w:pPr>
        <w:spacing w:after="0" w:line="240" w:lineRule="auto"/>
        <w:ind w:left="-284" w:right="-330"/>
        <w:rPr>
          <w:rFonts w:cs="Calibri"/>
        </w:rPr>
      </w:pPr>
    </w:p>
    <w:p w14:paraId="6E256311" w14:textId="4B8C44EC" w:rsidR="00EE167C" w:rsidRDefault="00772E2F" w:rsidP="00EE167C">
      <w:pPr>
        <w:spacing w:after="0" w:line="240" w:lineRule="auto"/>
        <w:ind w:left="-284" w:right="-330"/>
        <w:rPr>
          <w:rFonts w:cs="Calibri"/>
        </w:rPr>
      </w:pPr>
      <w:r>
        <w:rPr>
          <w:rFonts w:cs="Calibri"/>
        </w:rPr>
        <w:t xml:space="preserve">Overall, variable rates </w:t>
      </w:r>
      <w:r w:rsidR="00EE167C">
        <w:rPr>
          <w:rFonts w:cs="Calibri"/>
        </w:rPr>
        <w:t xml:space="preserve">continue to be the most popular home loan product </w:t>
      </w:r>
      <w:r>
        <w:rPr>
          <w:rFonts w:cs="Calibri"/>
        </w:rPr>
        <w:t>across</w:t>
      </w:r>
      <w:r w:rsidR="00EE167C">
        <w:rPr>
          <w:rFonts w:cs="Calibri"/>
        </w:rPr>
        <w:t xml:space="preserve"> Australia, with 71.67% of borrowers opting for </w:t>
      </w:r>
      <w:r>
        <w:rPr>
          <w:rFonts w:cs="Calibri"/>
        </w:rPr>
        <w:t>this type of mortgage</w:t>
      </w:r>
      <w:r w:rsidR="00EE167C">
        <w:rPr>
          <w:rFonts w:cs="Calibri"/>
        </w:rPr>
        <w:t xml:space="preserve">. </w:t>
      </w:r>
    </w:p>
    <w:p w14:paraId="2F31E679" w14:textId="77777777" w:rsidR="00EE167C" w:rsidRDefault="00EE167C" w:rsidP="00EE167C">
      <w:pPr>
        <w:spacing w:after="0" w:line="240" w:lineRule="auto"/>
        <w:ind w:left="-284" w:right="-330"/>
        <w:rPr>
          <w:rFonts w:cs="Calibri"/>
        </w:rPr>
      </w:pPr>
    </w:p>
    <w:p w14:paraId="24F1048D" w14:textId="575CCB45" w:rsidR="0080624B" w:rsidRDefault="00772E2F" w:rsidP="00EE167C">
      <w:pPr>
        <w:spacing w:after="0" w:line="240" w:lineRule="auto"/>
        <w:ind w:left="-284" w:right="-330"/>
        <w:rPr>
          <w:rFonts w:cs="Calibri"/>
        </w:rPr>
      </w:pPr>
      <w:r>
        <w:rPr>
          <w:rFonts w:cs="Calibri"/>
        </w:rPr>
        <w:t xml:space="preserve">Regardless of the product that borrowers select, Mr Flavell said they would likely secure a very competitively priced product thanks to the historically low rate environment. </w:t>
      </w:r>
    </w:p>
    <w:p w14:paraId="0C99544E" w14:textId="77777777" w:rsidR="00E60019" w:rsidRDefault="00E60019" w:rsidP="00E60019">
      <w:pPr>
        <w:spacing w:after="0" w:line="240" w:lineRule="auto"/>
        <w:ind w:left="-284" w:right="-330"/>
        <w:rPr>
          <w:rFonts w:cs="Calibri"/>
        </w:rPr>
      </w:pPr>
    </w:p>
    <w:p w14:paraId="7143F572" w14:textId="3D22BE08" w:rsidR="00E60019" w:rsidRDefault="00E60019" w:rsidP="00E60019">
      <w:pPr>
        <w:spacing w:after="0" w:line="240" w:lineRule="auto"/>
        <w:ind w:left="-284" w:right="-330"/>
        <w:rPr>
          <w:rFonts w:cs="Calibri"/>
        </w:rPr>
      </w:pPr>
      <w:r>
        <w:rPr>
          <w:rFonts w:cs="Calibri"/>
        </w:rPr>
        <w:t>“</w:t>
      </w:r>
      <w:r w:rsidR="00772E2F">
        <w:rPr>
          <w:rFonts w:cs="Calibri"/>
        </w:rPr>
        <w:t xml:space="preserve">Now is a great time to be a property buyer and/or a mortgage holder. Not only are interest rates continuing to hover around record lows, but lenders continue to aggressively compete for business through sharp home loan pricing,” he said.   </w:t>
      </w:r>
      <w:r>
        <w:rPr>
          <w:rFonts w:cs="Calibri"/>
        </w:rPr>
        <w:t xml:space="preserve"> </w:t>
      </w:r>
    </w:p>
    <w:p w14:paraId="2977F49B" w14:textId="77777777" w:rsidR="00C55B09" w:rsidRDefault="00C55B09" w:rsidP="00B1179D">
      <w:pPr>
        <w:spacing w:after="0" w:line="240" w:lineRule="auto"/>
        <w:ind w:right="-330"/>
        <w:rPr>
          <w:rFonts w:cs="Calibri"/>
        </w:rPr>
      </w:pPr>
    </w:p>
    <w:p w14:paraId="64662936" w14:textId="77777777" w:rsidR="00121D00" w:rsidRDefault="00121D00" w:rsidP="00953B93">
      <w:pPr>
        <w:tabs>
          <w:tab w:val="left" w:pos="8040"/>
        </w:tabs>
        <w:spacing w:after="0"/>
        <w:ind w:left="-284" w:right="-330"/>
        <w:jc w:val="both"/>
        <w:rPr>
          <w:rFonts w:cs="Calibri"/>
        </w:rPr>
      </w:pPr>
      <w:r>
        <w:rPr>
          <w:rFonts w:cs="Calibri"/>
        </w:rPr>
        <w:t xml:space="preserve">For archived copies of the Homeloan Choices bulletin, please refer to </w:t>
      </w:r>
      <w:hyperlink r:id="rId7" w:history="1">
        <w:r w:rsidRPr="00D617F3">
          <w:rPr>
            <w:rStyle w:val="Hyperlink"/>
            <w:rFonts w:cs="Calibri"/>
          </w:rPr>
          <w:t>http://www.mortgagechoice.com.au/about-us/homeloan-choices-newsletter</w:t>
        </w:r>
      </w:hyperlink>
      <w:r>
        <w:rPr>
          <w:rFonts w:cs="Calibri"/>
        </w:rPr>
        <w:t xml:space="preserve">. </w:t>
      </w:r>
    </w:p>
    <w:p w14:paraId="05FAA525" w14:textId="77777777" w:rsidR="0017555C" w:rsidRDefault="0017555C" w:rsidP="00121D00">
      <w:pPr>
        <w:tabs>
          <w:tab w:val="left" w:pos="8040"/>
        </w:tabs>
        <w:spacing w:after="0"/>
        <w:ind w:left="-284" w:right="-330"/>
        <w:jc w:val="both"/>
        <w:rPr>
          <w:rFonts w:cs="Calibri"/>
        </w:rPr>
      </w:pPr>
    </w:p>
    <w:p w14:paraId="6A4ABB01" w14:textId="77C37B30" w:rsidR="00121D00" w:rsidRPr="00A84031" w:rsidRDefault="00F26160" w:rsidP="00A84031">
      <w:pPr>
        <w:tabs>
          <w:tab w:val="left" w:pos="8040"/>
        </w:tabs>
        <w:spacing w:after="0"/>
        <w:ind w:left="-284" w:right="-330"/>
        <w:jc w:val="center"/>
        <w:rPr>
          <w:rFonts w:cs="Calibri"/>
          <w:b/>
        </w:rPr>
      </w:pPr>
      <w:r>
        <w:rPr>
          <w:rFonts w:cs="Calibri"/>
          <w:b/>
          <w:noProof/>
          <w:lang w:eastAsia="en-AU"/>
        </w:rPr>
        <w:drawing>
          <wp:inline distT="0" distB="0" distL="0" distR="0" wp14:anchorId="4329AF02" wp14:editId="778300D2">
            <wp:extent cx="5071926" cy="2212223"/>
            <wp:effectExtent l="0" t="0" r="8255" b="0"/>
            <wp:docPr id="1" name="Picture 1" descr="Screen%20Shot%202017-10-05%20at%209.48.0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05%20at%209.48.08%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844" cy="2242719"/>
                    </a:xfrm>
                    <a:prstGeom prst="rect">
                      <a:avLst/>
                    </a:prstGeom>
                    <a:noFill/>
                    <a:ln>
                      <a:noFill/>
                    </a:ln>
                  </pic:spPr>
                </pic:pic>
              </a:graphicData>
            </a:graphic>
          </wp:inline>
        </w:drawing>
      </w:r>
    </w:p>
    <w:p w14:paraId="4FF4F605" w14:textId="77777777" w:rsidR="00121D00" w:rsidRDefault="00121D00" w:rsidP="00121D00">
      <w:pPr>
        <w:pStyle w:val="BodyText"/>
        <w:ind w:right="-330"/>
        <w:rPr>
          <w:rFonts w:ascii="Calibri" w:hAnsi="Calibri" w:cs="Calibri"/>
          <w:b/>
          <w:sz w:val="20"/>
          <w:szCs w:val="20"/>
          <w:u w:val="single"/>
        </w:rPr>
      </w:pPr>
    </w:p>
    <w:tbl>
      <w:tblPr>
        <w:tblpPr w:leftFromText="180" w:rightFromText="180" w:vertAnchor="text" w:horzAnchor="margin" w:tblpXSpec="center" w:tblpY="-54"/>
        <w:tblOverlap w:val="never"/>
        <w:tblW w:w="8055" w:type="dxa"/>
        <w:tblLook w:val="04A0" w:firstRow="1" w:lastRow="0" w:firstColumn="1" w:lastColumn="0" w:noHBand="0" w:noVBand="1"/>
      </w:tblPr>
      <w:tblGrid>
        <w:gridCol w:w="2010"/>
        <w:gridCol w:w="289"/>
        <w:gridCol w:w="829"/>
        <w:gridCol w:w="289"/>
        <w:gridCol w:w="915"/>
        <w:gridCol w:w="289"/>
        <w:gridCol w:w="904"/>
        <w:gridCol w:w="289"/>
        <w:gridCol w:w="904"/>
        <w:gridCol w:w="289"/>
        <w:gridCol w:w="1048"/>
      </w:tblGrid>
      <w:tr w:rsidR="00121D00" w:rsidRPr="0048632F" w14:paraId="7F02C3CD" w14:textId="77777777" w:rsidTr="00827858">
        <w:trPr>
          <w:trHeight w:val="440"/>
        </w:trPr>
        <w:tc>
          <w:tcPr>
            <w:tcW w:w="2010" w:type="dxa"/>
            <w:shd w:val="clear" w:color="auto" w:fill="auto"/>
            <w:noWrap/>
            <w:vAlign w:val="center"/>
            <w:hideMark/>
          </w:tcPr>
          <w:p w14:paraId="038F03CC" w14:textId="77777777" w:rsidR="00121D00" w:rsidRDefault="00121D00" w:rsidP="00827858">
            <w:pPr>
              <w:spacing w:after="0" w:line="240" w:lineRule="auto"/>
              <w:ind w:left="-142" w:right="-88"/>
              <w:rPr>
                <w:rFonts w:ascii="Arial" w:eastAsia="Times New Roman" w:hAnsi="Arial" w:cs="Arial"/>
                <w:b/>
                <w:bCs/>
                <w:sz w:val="20"/>
                <w:szCs w:val="16"/>
                <w:lang w:val="en-US"/>
              </w:rPr>
            </w:pPr>
          </w:p>
          <w:p w14:paraId="209164C1" w14:textId="77777777" w:rsidR="00121D00" w:rsidRPr="0048632F" w:rsidRDefault="00121D00" w:rsidP="00827858">
            <w:pPr>
              <w:spacing w:after="0" w:line="240" w:lineRule="auto"/>
              <w:ind w:right="-88"/>
              <w:rPr>
                <w:rFonts w:ascii="Arial" w:eastAsia="Times New Roman" w:hAnsi="Arial" w:cs="Arial"/>
                <w:b/>
                <w:bCs/>
                <w:sz w:val="20"/>
                <w:szCs w:val="16"/>
                <w:lang w:val="en-US"/>
              </w:rPr>
            </w:pPr>
          </w:p>
        </w:tc>
        <w:tc>
          <w:tcPr>
            <w:tcW w:w="1118" w:type="dxa"/>
            <w:gridSpan w:val="2"/>
            <w:shd w:val="clear" w:color="000000" w:fill="006784"/>
            <w:noWrap/>
            <w:vAlign w:val="center"/>
            <w:hideMark/>
          </w:tcPr>
          <w:p w14:paraId="04D30A12" w14:textId="77777777" w:rsidR="00121D00" w:rsidRPr="0048632F" w:rsidRDefault="00121D00" w:rsidP="00827858">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NSW/ACT</w:t>
            </w:r>
          </w:p>
        </w:tc>
        <w:tc>
          <w:tcPr>
            <w:tcW w:w="1204" w:type="dxa"/>
            <w:gridSpan w:val="2"/>
            <w:shd w:val="clear" w:color="000000" w:fill="006784"/>
            <w:noWrap/>
            <w:vAlign w:val="center"/>
            <w:hideMark/>
          </w:tcPr>
          <w:p w14:paraId="2F3612BB" w14:textId="08F63015" w:rsidR="00121D00" w:rsidRPr="0048632F" w:rsidRDefault="00121D00" w:rsidP="00827858">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VIC</w:t>
            </w:r>
          </w:p>
        </w:tc>
        <w:tc>
          <w:tcPr>
            <w:tcW w:w="1193" w:type="dxa"/>
            <w:gridSpan w:val="2"/>
            <w:shd w:val="clear" w:color="000000" w:fill="006784"/>
            <w:noWrap/>
            <w:vAlign w:val="center"/>
            <w:hideMark/>
          </w:tcPr>
          <w:p w14:paraId="487960A2" w14:textId="77777777" w:rsidR="00121D00" w:rsidRPr="0048632F" w:rsidRDefault="00121D00" w:rsidP="00827858">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QLD</w:t>
            </w:r>
          </w:p>
        </w:tc>
        <w:tc>
          <w:tcPr>
            <w:tcW w:w="1193" w:type="dxa"/>
            <w:gridSpan w:val="2"/>
            <w:shd w:val="clear" w:color="000000" w:fill="006784"/>
            <w:noWrap/>
            <w:vAlign w:val="center"/>
            <w:hideMark/>
          </w:tcPr>
          <w:p w14:paraId="737CF260" w14:textId="77777777" w:rsidR="00121D00" w:rsidRPr="0048632F" w:rsidRDefault="00121D00" w:rsidP="00827858">
            <w:pPr>
              <w:spacing w:after="0" w:line="240" w:lineRule="auto"/>
              <w:ind w:left="-142" w:right="-88"/>
              <w:jc w:val="right"/>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SA/NT</w:t>
            </w:r>
          </w:p>
        </w:tc>
        <w:tc>
          <w:tcPr>
            <w:tcW w:w="1337" w:type="dxa"/>
            <w:gridSpan w:val="2"/>
            <w:shd w:val="clear" w:color="000000" w:fill="006784"/>
            <w:noWrap/>
            <w:vAlign w:val="center"/>
            <w:hideMark/>
          </w:tcPr>
          <w:p w14:paraId="1B6B50AD" w14:textId="77777777" w:rsidR="00121D00" w:rsidRPr="0048632F" w:rsidRDefault="00121D00" w:rsidP="00827858">
            <w:pPr>
              <w:spacing w:after="0" w:line="240" w:lineRule="auto"/>
              <w:ind w:left="-142" w:right="-88"/>
              <w:jc w:val="center"/>
              <w:rPr>
                <w:rFonts w:ascii="Arial" w:eastAsia="Times New Roman" w:hAnsi="Arial" w:cs="Arial"/>
                <w:b/>
                <w:bCs/>
                <w:color w:val="FFFFFF"/>
                <w:sz w:val="20"/>
                <w:szCs w:val="16"/>
                <w:lang w:val="en-US"/>
              </w:rPr>
            </w:pPr>
            <w:r w:rsidRPr="0048632F">
              <w:rPr>
                <w:rFonts w:ascii="Arial" w:eastAsia="Times New Roman" w:hAnsi="Arial" w:cs="Arial"/>
                <w:b/>
                <w:bCs/>
                <w:color w:val="FFFFFF"/>
                <w:sz w:val="20"/>
                <w:szCs w:val="16"/>
                <w:lang w:val="en-US"/>
              </w:rPr>
              <w:t>WA</w:t>
            </w:r>
          </w:p>
        </w:tc>
      </w:tr>
      <w:tr w:rsidR="00121D00" w:rsidRPr="00676CB8" w14:paraId="4913B0CC" w14:textId="77777777" w:rsidTr="00827858">
        <w:trPr>
          <w:trHeight w:val="440"/>
        </w:trPr>
        <w:tc>
          <w:tcPr>
            <w:tcW w:w="2299" w:type="dxa"/>
            <w:gridSpan w:val="2"/>
            <w:shd w:val="clear" w:color="auto" w:fill="auto"/>
            <w:noWrap/>
            <w:vAlign w:val="bottom"/>
            <w:hideMark/>
          </w:tcPr>
          <w:p w14:paraId="281E9034" w14:textId="77777777" w:rsidR="00121D00" w:rsidRPr="00E372A9" w:rsidRDefault="00121D00" w:rsidP="00827858">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Variable</w:t>
            </w:r>
          </w:p>
        </w:tc>
        <w:tc>
          <w:tcPr>
            <w:tcW w:w="1118" w:type="dxa"/>
            <w:gridSpan w:val="2"/>
            <w:shd w:val="clear" w:color="auto" w:fill="auto"/>
            <w:noWrap/>
            <w:vAlign w:val="bottom"/>
            <w:hideMark/>
          </w:tcPr>
          <w:p w14:paraId="378ED0C4" w14:textId="0C542642" w:rsidR="00121D00" w:rsidRPr="00E372A9" w:rsidRDefault="00121D00" w:rsidP="00A84031">
            <w:pPr>
              <w:spacing w:after="0" w:line="240" w:lineRule="auto"/>
              <w:ind w:left="-142" w:right="-88"/>
              <w:rPr>
                <w:rFonts w:ascii="Arial" w:eastAsia="Times New Roman" w:hAnsi="Arial" w:cs="Arial"/>
                <w:b/>
                <w:bCs/>
                <w:sz w:val="20"/>
                <w:szCs w:val="16"/>
                <w:lang w:val="en-US"/>
              </w:rPr>
            </w:pPr>
            <w:r>
              <w:rPr>
                <w:rFonts w:ascii="Arial" w:eastAsia="Times New Roman" w:hAnsi="Arial" w:cs="Arial"/>
                <w:b/>
                <w:bCs/>
                <w:sz w:val="20"/>
                <w:szCs w:val="16"/>
                <w:lang w:val="en-US"/>
              </w:rPr>
              <w:t xml:space="preserve">   </w:t>
            </w:r>
            <w:r w:rsidR="00F26160">
              <w:rPr>
                <w:rFonts w:ascii="Arial" w:eastAsia="Times New Roman" w:hAnsi="Arial" w:cs="Arial"/>
                <w:b/>
                <w:bCs/>
                <w:sz w:val="20"/>
                <w:szCs w:val="16"/>
                <w:lang w:val="en-US"/>
              </w:rPr>
              <w:t>71.93</w:t>
            </w:r>
            <w:r w:rsidRPr="001E12B1">
              <w:rPr>
                <w:rFonts w:ascii="Arial" w:eastAsia="Times New Roman" w:hAnsi="Arial" w:cs="Arial"/>
                <w:b/>
                <w:bCs/>
                <w:sz w:val="20"/>
                <w:szCs w:val="16"/>
                <w:lang w:val="en-US"/>
              </w:rPr>
              <w:t>%</w:t>
            </w:r>
          </w:p>
        </w:tc>
        <w:tc>
          <w:tcPr>
            <w:tcW w:w="1204" w:type="dxa"/>
            <w:gridSpan w:val="2"/>
            <w:shd w:val="clear" w:color="auto" w:fill="auto"/>
            <w:noWrap/>
            <w:vAlign w:val="bottom"/>
            <w:hideMark/>
          </w:tcPr>
          <w:p w14:paraId="7CEBB9AE" w14:textId="3241E4FD" w:rsidR="00121D00" w:rsidRPr="00E372A9" w:rsidRDefault="00F26160"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71.92</w:t>
            </w:r>
            <w:r w:rsidR="00121D00"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14:paraId="7A3F372D" w14:textId="54F5D02A" w:rsidR="00121D00" w:rsidRPr="00E372A9" w:rsidRDefault="00F26160"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70.99</w:t>
            </w:r>
            <w:r w:rsidR="00121D00"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14:paraId="6634B9FF" w14:textId="3F16DEFE" w:rsidR="00121D00" w:rsidRPr="00E372A9" w:rsidRDefault="00606971"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72.05</w:t>
            </w:r>
            <w:r w:rsidR="00121D00" w:rsidRPr="00E372A9">
              <w:rPr>
                <w:rFonts w:ascii="Arial" w:eastAsia="Times New Roman" w:hAnsi="Arial" w:cs="Arial"/>
                <w:b/>
                <w:bCs/>
                <w:sz w:val="20"/>
                <w:szCs w:val="16"/>
                <w:lang w:val="en-US"/>
              </w:rPr>
              <w:t>%</w:t>
            </w:r>
          </w:p>
        </w:tc>
        <w:tc>
          <w:tcPr>
            <w:tcW w:w="1048" w:type="dxa"/>
            <w:shd w:val="clear" w:color="auto" w:fill="auto"/>
            <w:noWrap/>
            <w:vAlign w:val="bottom"/>
            <w:hideMark/>
          </w:tcPr>
          <w:p w14:paraId="0FD06732" w14:textId="58874CAE" w:rsidR="00121D00" w:rsidRPr="00E372A9" w:rsidRDefault="00606971"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 xml:space="preserve">      71.77</w:t>
            </w:r>
            <w:r w:rsidR="00121D00" w:rsidRPr="00E372A9">
              <w:rPr>
                <w:rFonts w:ascii="Arial" w:eastAsia="Times New Roman" w:hAnsi="Arial" w:cs="Arial"/>
                <w:b/>
                <w:bCs/>
                <w:sz w:val="20"/>
                <w:szCs w:val="16"/>
                <w:lang w:val="en-US"/>
              </w:rPr>
              <w:t>%</w:t>
            </w:r>
          </w:p>
        </w:tc>
      </w:tr>
      <w:tr w:rsidR="00121D00" w:rsidRPr="00676CB8" w14:paraId="5B5E370B" w14:textId="77777777" w:rsidTr="00827858">
        <w:trPr>
          <w:trHeight w:val="479"/>
        </w:trPr>
        <w:tc>
          <w:tcPr>
            <w:tcW w:w="2010" w:type="dxa"/>
            <w:shd w:val="clear" w:color="auto" w:fill="auto"/>
            <w:noWrap/>
            <w:vAlign w:val="bottom"/>
            <w:hideMark/>
          </w:tcPr>
          <w:p w14:paraId="13724E77" w14:textId="77777777" w:rsidR="00121D00" w:rsidRPr="00E372A9" w:rsidRDefault="00121D00" w:rsidP="00827858">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Basic Variable</w:t>
            </w:r>
          </w:p>
        </w:tc>
        <w:tc>
          <w:tcPr>
            <w:tcW w:w="1118" w:type="dxa"/>
            <w:gridSpan w:val="2"/>
            <w:shd w:val="clear" w:color="auto" w:fill="auto"/>
            <w:noWrap/>
            <w:vAlign w:val="bottom"/>
            <w:hideMark/>
          </w:tcPr>
          <w:p w14:paraId="2338E23B" w14:textId="75895D0D"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21.22</w:t>
            </w:r>
            <w:r w:rsidR="00121D00" w:rsidRPr="00E372A9">
              <w:rPr>
                <w:rFonts w:ascii="Arial" w:eastAsia="Times New Roman" w:hAnsi="Arial" w:cs="Arial"/>
                <w:sz w:val="20"/>
                <w:szCs w:val="16"/>
                <w:lang w:val="en-US"/>
              </w:rPr>
              <w:t>%</w:t>
            </w:r>
          </w:p>
        </w:tc>
        <w:tc>
          <w:tcPr>
            <w:tcW w:w="1204" w:type="dxa"/>
            <w:gridSpan w:val="2"/>
            <w:shd w:val="clear" w:color="auto" w:fill="auto"/>
            <w:noWrap/>
            <w:vAlign w:val="bottom"/>
            <w:hideMark/>
          </w:tcPr>
          <w:p w14:paraId="584BB159" w14:textId="3A2F8E5B" w:rsidR="00121D00" w:rsidRPr="00E372A9" w:rsidRDefault="00121D00" w:rsidP="00F26160">
            <w:pPr>
              <w:spacing w:after="0" w:line="240" w:lineRule="auto"/>
              <w:ind w:left="-142" w:right="-88"/>
              <w:jc w:val="center"/>
              <w:rPr>
                <w:rFonts w:ascii="Arial" w:eastAsia="Times New Roman" w:hAnsi="Arial" w:cs="Arial"/>
                <w:sz w:val="20"/>
                <w:szCs w:val="16"/>
                <w:lang w:val="en-US"/>
              </w:rPr>
            </w:pPr>
            <w:r>
              <w:rPr>
                <w:rFonts w:ascii="Arial" w:eastAsia="Times New Roman" w:hAnsi="Arial" w:cs="Arial"/>
                <w:sz w:val="20"/>
                <w:szCs w:val="16"/>
                <w:lang w:val="en-US"/>
              </w:rPr>
              <w:t xml:space="preserve">         </w:t>
            </w:r>
            <w:r w:rsidR="00F26160">
              <w:rPr>
                <w:rFonts w:ascii="Arial" w:eastAsia="Times New Roman" w:hAnsi="Arial" w:cs="Arial"/>
                <w:sz w:val="20"/>
                <w:szCs w:val="16"/>
                <w:lang w:val="en-US"/>
              </w:rPr>
              <w:t>16.27</w:t>
            </w:r>
            <w:r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6ADF7AD9" w14:textId="6FB1AE27" w:rsidR="00121D00" w:rsidRPr="00E372A9" w:rsidRDefault="007D4898"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19.03</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1A78B6AB" w14:textId="6846CD9F"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9.60</w:t>
            </w:r>
            <w:r w:rsidR="00121D00" w:rsidRPr="00E372A9">
              <w:rPr>
                <w:rFonts w:ascii="Arial" w:eastAsia="Times New Roman" w:hAnsi="Arial" w:cs="Arial"/>
                <w:sz w:val="20"/>
                <w:szCs w:val="16"/>
                <w:lang w:val="en-US"/>
              </w:rPr>
              <w:t>%</w:t>
            </w:r>
          </w:p>
        </w:tc>
        <w:tc>
          <w:tcPr>
            <w:tcW w:w="1337" w:type="dxa"/>
            <w:gridSpan w:val="2"/>
            <w:shd w:val="clear" w:color="auto" w:fill="auto"/>
            <w:noWrap/>
            <w:vAlign w:val="bottom"/>
            <w:hideMark/>
          </w:tcPr>
          <w:p w14:paraId="24047DE3" w14:textId="5C5ADF7E"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23.44</w:t>
            </w:r>
            <w:r w:rsidR="00121D00" w:rsidRPr="00E372A9">
              <w:rPr>
                <w:rFonts w:ascii="Arial" w:eastAsia="Times New Roman" w:hAnsi="Arial" w:cs="Arial"/>
                <w:sz w:val="20"/>
                <w:szCs w:val="16"/>
                <w:lang w:val="en-US"/>
              </w:rPr>
              <w:t>%</w:t>
            </w:r>
          </w:p>
        </w:tc>
      </w:tr>
      <w:tr w:rsidR="00121D00" w:rsidRPr="00676CB8" w14:paraId="78AFD4B1" w14:textId="77777777" w:rsidTr="00827858">
        <w:trPr>
          <w:trHeight w:val="454"/>
        </w:trPr>
        <w:tc>
          <w:tcPr>
            <w:tcW w:w="2010" w:type="dxa"/>
            <w:shd w:val="clear" w:color="auto" w:fill="auto"/>
            <w:noWrap/>
            <w:vAlign w:val="bottom"/>
            <w:hideMark/>
          </w:tcPr>
          <w:p w14:paraId="48728912" w14:textId="1A288813" w:rsidR="00121D00" w:rsidRPr="00E372A9" w:rsidRDefault="00121D00" w:rsidP="00827858">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Standard Variable</w:t>
            </w:r>
          </w:p>
        </w:tc>
        <w:tc>
          <w:tcPr>
            <w:tcW w:w="1118" w:type="dxa"/>
            <w:gridSpan w:val="2"/>
            <w:shd w:val="clear" w:color="auto" w:fill="auto"/>
            <w:noWrap/>
            <w:vAlign w:val="bottom"/>
            <w:hideMark/>
          </w:tcPr>
          <w:p w14:paraId="6D015CD7" w14:textId="3A6CA31B"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8.96</w:t>
            </w:r>
            <w:r w:rsidR="00121D00" w:rsidRPr="00E372A9">
              <w:rPr>
                <w:rFonts w:ascii="Arial" w:eastAsia="Times New Roman" w:hAnsi="Arial" w:cs="Arial"/>
                <w:sz w:val="20"/>
                <w:szCs w:val="16"/>
                <w:lang w:val="en-US"/>
              </w:rPr>
              <w:t>%</w:t>
            </w:r>
          </w:p>
        </w:tc>
        <w:tc>
          <w:tcPr>
            <w:tcW w:w="1204" w:type="dxa"/>
            <w:gridSpan w:val="2"/>
            <w:shd w:val="clear" w:color="auto" w:fill="auto"/>
            <w:noWrap/>
            <w:vAlign w:val="bottom"/>
            <w:hideMark/>
          </w:tcPr>
          <w:p w14:paraId="6853941F" w14:textId="207C868E"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7.17</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69665861" w14:textId="6A5519CC" w:rsidR="00121D00" w:rsidRPr="00E372A9" w:rsidRDefault="007D4898"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5.64</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16596964" w14:textId="018A8E52"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6.24</w:t>
            </w:r>
            <w:r w:rsidR="00121D00" w:rsidRPr="00E372A9">
              <w:rPr>
                <w:rFonts w:ascii="Arial" w:eastAsia="Times New Roman" w:hAnsi="Arial" w:cs="Arial"/>
                <w:sz w:val="20"/>
                <w:szCs w:val="16"/>
                <w:lang w:val="en-US"/>
              </w:rPr>
              <w:t>%</w:t>
            </w:r>
          </w:p>
        </w:tc>
        <w:tc>
          <w:tcPr>
            <w:tcW w:w="1337" w:type="dxa"/>
            <w:gridSpan w:val="2"/>
            <w:shd w:val="clear" w:color="auto" w:fill="auto"/>
            <w:noWrap/>
            <w:vAlign w:val="bottom"/>
            <w:hideMark/>
          </w:tcPr>
          <w:p w14:paraId="7F2CE73C" w14:textId="2777928D"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6.23</w:t>
            </w:r>
            <w:r w:rsidR="00121D00" w:rsidRPr="00E372A9">
              <w:rPr>
                <w:rFonts w:ascii="Arial" w:eastAsia="Times New Roman" w:hAnsi="Arial" w:cs="Arial"/>
                <w:sz w:val="20"/>
                <w:szCs w:val="16"/>
                <w:lang w:val="en-US"/>
              </w:rPr>
              <w:t>%</w:t>
            </w:r>
          </w:p>
        </w:tc>
      </w:tr>
      <w:tr w:rsidR="00121D00" w:rsidRPr="00676CB8" w14:paraId="5C137F26" w14:textId="77777777" w:rsidTr="00827858">
        <w:trPr>
          <w:trHeight w:val="440"/>
        </w:trPr>
        <w:tc>
          <w:tcPr>
            <w:tcW w:w="2010" w:type="dxa"/>
            <w:shd w:val="clear" w:color="auto" w:fill="auto"/>
            <w:noWrap/>
            <w:vAlign w:val="bottom"/>
            <w:hideMark/>
          </w:tcPr>
          <w:p w14:paraId="0C7F79B9" w14:textId="77777777" w:rsidR="00121D00" w:rsidRPr="00E372A9" w:rsidRDefault="00121D00" w:rsidP="00827858">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Ongoing Discount</w:t>
            </w:r>
          </w:p>
        </w:tc>
        <w:tc>
          <w:tcPr>
            <w:tcW w:w="1118" w:type="dxa"/>
            <w:gridSpan w:val="2"/>
            <w:shd w:val="clear" w:color="auto" w:fill="auto"/>
            <w:noWrap/>
            <w:vAlign w:val="bottom"/>
            <w:hideMark/>
          </w:tcPr>
          <w:p w14:paraId="116D6595" w14:textId="6ED38A8B"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37.67</w:t>
            </w:r>
            <w:r w:rsidR="00121D00" w:rsidRPr="00E372A9">
              <w:rPr>
                <w:rFonts w:ascii="Arial" w:eastAsia="Times New Roman" w:hAnsi="Arial" w:cs="Arial"/>
                <w:sz w:val="20"/>
                <w:szCs w:val="16"/>
                <w:lang w:val="en-US"/>
              </w:rPr>
              <w:t>%</w:t>
            </w:r>
          </w:p>
        </w:tc>
        <w:tc>
          <w:tcPr>
            <w:tcW w:w="1204" w:type="dxa"/>
            <w:gridSpan w:val="2"/>
            <w:shd w:val="clear" w:color="auto" w:fill="auto"/>
            <w:noWrap/>
            <w:vAlign w:val="bottom"/>
            <w:hideMark/>
          </w:tcPr>
          <w:p w14:paraId="2CDEC186" w14:textId="6F02FDF6"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43.46</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78B2F496" w14:textId="66D07166" w:rsidR="00121D00" w:rsidRPr="00E372A9" w:rsidRDefault="007D4898"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41.79</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045E2691" w14:textId="18F704CC"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52.35</w:t>
            </w:r>
            <w:r w:rsidR="00121D00" w:rsidRPr="00E372A9">
              <w:rPr>
                <w:rFonts w:ascii="Arial" w:eastAsia="Times New Roman" w:hAnsi="Arial" w:cs="Arial"/>
                <w:sz w:val="20"/>
                <w:szCs w:val="16"/>
                <w:lang w:val="en-US"/>
              </w:rPr>
              <w:t>%</w:t>
            </w:r>
          </w:p>
        </w:tc>
        <w:tc>
          <w:tcPr>
            <w:tcW w:w="1337" w:type="dxa"/>
            <w:gridSpan w:val="2"/>
            <w:shd w:val="clear" w:color="auto" w:fill="auto"/>
            <w:noWrap/>
            <w:vAlign w:val="bottom"/>
            <w:hideMark/>
          </w:tcPr>
          <w:p w14:paraId="2AFA36C2" w14:textId="32B40FBA"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34.54</w:t>
            </w:r>
            <w:r w:rsidR="00121D00" w:rsidRPr="00E372A9">
              <w:rPr>
                <w:rFonts w:ascii="Arial" w:eastAsia="Times New Roman" w:hAnsi="Arial" w:cs="Arial"/>
                <w:sz w:val="20"/>
                <w:szCs w:val="16"/>
                <w:lang w:val="en-US"/>
              </w:rPr>
              <w:t>%</w:t>
            </w:r>
          </w:p>
        </w:tc>
      </w:tr>
      <w:tr w:rsidR="00121D00" w:rsidRPr="00676CB8" w14:paraId="6099DF82" w14:textId="77777777" w:rsidTr="00827858">
        <w:trPr>
          <w:trHeight w:val="440"/>
        </w:trPr>
        <w:tc>
          <w:tcPr>
            <w:tcW w:w="2010" w:type="dxa"/>
            <w:shd w:val="clear" w:color="auto" w:fill="auto"/>
            <w:noWrap/>
            <w:vAlign w:val="bottom"/>
            <w:hideMark/>
          </w:tcPr>
          <w:p w14:paraId="7301CA5D" w14:textId="77777777" w:rsidR="00121D00" w:rsidRPr="00E372A9" w:rsidRDefault="00121D00" w:rsidP="00827858">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Line of Credit</w:t>
            </w:r>
          </w:p>
        </w:tc>
        <w:tc>
          <w:tcPr>
            <w:tcW w:w="1118" w:type="dxa"/>
            <w:gridSpan w:val="2"/>
            <w:shd w:val="clear" w:color="auto" w:fill="auto"/>
            <w:noWrap/>
            <w:vAlign w:val="bottom"/>
            <w:hideMark/>
          </w:tcPr>
          <w:p w14:paraId="26BD51C4" w14:textId="2389BB46"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1.24</w:t>
            </w:r>
            <w:r w:rsidR="00121D00" w:rsidRPr="00E372A9">
              <w:rPr>
                <w:rFonts w:ascii="Arial" w:eastAsia="Times New Roman" w:hAnsi="Arial" w:cs="Arial"/>
                <w:sz w:val="20"/>
                <w:szCs w:val="16"/>
                <w:lang w:val="en-US"/>
              </w:rPr>
              <w:t>%</w:t>
            </w:r>
          </w:p>
        </w:tc>
        <w:tc>
          <w:tcPr>
            <w:tcW w:w="1204" w:type="dxa"/>
            <w:gridSpan w:val="2"/>
            <w:shd w:val="clear" w:color="auto" w:fill="auto"/>
            <w:noWrap/>
            <w:vAlign w:val="bottom"/>
            <w:hideMark/>
          </w:tcPr>
          <w:p w14:paraId="47F688F8" w14:textId="0218F8D8"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0.53</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57F177D8" w14:textId="1140AB0F" w:rsidR="00121D00" w:rsidRPr="00E372A9" w:rsidRDefault="007D4898"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1.64</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658F8CEE" w14:textId="1491D443"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2.08</w:t>
            </w:r>
            <w:r w:rsidR="00121D00" w:rsidRPr="00E372A9">
              <w:rPr>
                <w:rFonts w:ascii="Arial" w:eastAsia="Times New Roman" w:hAnsi="Arial" w:cs="Arial"/>
                <w:sz w:val="20"/>
                <w:szCs w:val="16"/>
                <w:lang w:val="en-US"/>
              </w:rPr>
              <w:t>%</w:t>
            </w:r>
          </w:p>
        </w:tc>
        <w:tc>
          <w:tcPr>
            <w:tcW w:w="1337" w:type="dxa"/>
            <w:gridSpan w:val="2"/>
            <w:shd w:val="clear" w:color="auto" w:fill="auto"/>
            <w:noWrap/>
            <w:vAlign w:val="bottom"/>
            <w:hideMark/>
          </w:tcPr>
          <w:p w14:paraId="4F1E8324" w14:textId="73D6498E"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4.69</w:t>
            </w:r>
            <w:r w:rsidR="00121D00" w:rsidRPr="00E372A9">
              <w:rPr>
                <w:rFonts w:ascii="Arial" w:eastAsia="Times New Roman" w:hAnsi="Arial" w:cs="Arial"/>
                <w:sz w:val="20"/>
                <w:szCs w:val="16"/>
                <w:lang w:val="en-US"/>
              </w:rPr>
              <w:t>%</w:t>
            </w:r>
          </w:p>
        </w:tc>
      </w:tr>
      <w:tr w:rsidR="00121D00" w:rsidRPr="00676CB8" w14:paraId="5FEE7495" w14:textId="77777777" w:rsidTr="00827858">
        <w:trPr>
          <w:trHeight w:val="440"/>
        </w:trPr>
        <w:tc>
          <w:tcPr>
            <w:tcW w:w="2010" w:type="dxa"/>
            <w:shd w:val="clear" w:color="auto" w:fill="auto"/>
            <w:noWrap/>
            <w:vAlign w:val="bottom"/>
            <w:hideMark/>
          </w:tcPr>
          <w:p w14:paraId="0A20597E" w14:textId="77777777" w:rsidR="00121D00" w:rsidRPr="00E372A9" w:rsidRDefault="00121D00" w:rsidP="00827858">
            <w:pPr>
              <w:spacing w:after="0" w:line="240" w:lineRule="auto"/>
              <w:ind w:right="-88"/>
              <w:rPr>
                <w:rFonts w:ascii="Arial" w:eastAsia="Times New Roman" w:hAnsi="Arial" w:cs="Arial"/>
                <w:b/>
                <w:i/>
                <w:color w:val="808080"/>
                <w:sz w:val="20"/>
                <w:szCs w:val="16"/>
                <w:lang w:val="en-US"/>
              </w:rPr>
            </w:pPr>
            <w:r w:rsidRPr="00E372A9">
              <w:rPr>
                <w:rFonts w:ascii="Arial" w:eastAsia="Times New Roman" w:hAnsi="Arial" w:cs="Arial"/>
                <w:b/>
                <w:i/>
                <w:color w:val="808080"/>
                <w:sz w:val="20"/>
                <w:szCs w:val="16"/>
                <w:lang w:val="en-US"/>
              </w:rPr>
              <w:t>Introductory Rate</w:t>
            </w:r>
          </w:p>
        </w:tc>
        <w:tc>
          <w:tcPr>
            <w:tcW w:w="1118" w:type="dxa"/>
            <w:gridSpan w:val="2"/>
            <w:shd w:val="clear" w:color="auto" w:fill="auto"/>
            <w:noWrap/>
            <w:vAlign w:val="bottom"/>
            <w:hideMark/>
          </w:tcPr>
          <w:p w14:paraId="1615F365" w14:textId="04557AC0"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2.84</w:t>
            </w:r>
            <w:r w:rsidR="00121D00" w:rsidRPr="00E372A9">
              <w:rPr>
                <w:rFonts w:ascii="Arial" w:eastAsia="Times New Roman" w:hAnsi="Arial" w:cs="Arial"/>
                <w:sz w:val="20"/>
                <w:szCs w:val="16"/>
                <w:lang w:val="en-US"/>
              </w:rPr>
              <w:t>%</w:t>
            </w:r>
          </w:p>
        </w:tc>
        <w:tc>
          <w:tcPr>
            <w:tcW w:w="1204" w:type="dxa"/>
            <w:gridSpan w:val="2"/>
            <w:shd w:val="clear" w:color="auto" w:fill="auto"/>
            <w:noWrap/>
            <w:vAlign w:val="bottom"/>
            <w:hideMark/>
          </w:tcPr>
          <w:p w14:paraId="63271B24" w14:textId="48A650A1" w:rsidR="00121D00" w:rsidRPr="00E372A9" w:rsidRDefault="00F26160"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4.49</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6E492FC8" w14:textId="090AC631" w:rsidR="00121D00" w:rsidRPr="00E372A9" w:rsidRDefault="007D4898"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2.89</w:t>
            </w:r>
            <w:r w:rsidR="00121D00" w:rsidRPr="00E372A9">
              <w:rPr>
                <w:rFonts w:ascii="Arial" w:eastAsia="Times New Roman" w:hAnsi="Arial" w:cs="Arial"/>
                <w:sz w:val="20"/>
                <w:szCs w:val="16"/>
                <w:lang w:val="en-US"/>
              </w:rPr>
              <w:t>%</w:t>
            </w:r>
          </w:p>
        </w:tc>
        <w:tc>
          <w:tcPr>
            <w:tcW w:w="1193" w:type="dxa"/>
            <w:gridSpan w:val="2"/>
            <w:shd w:val="clear" w:color="auto" w:fill="auto"/>
            <w:noWrap/>
            <w:vAlign w:val="bottom"/>
            <w:hideMark/>
          </w:tcPr>
          <w:p w14:paraId="08BB0797" w14:textId="4E804099"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1.78</w:t>
            </w:r>
            <w:r w:rsidR="00121D00" w:rsidRPr="00E372A9">
              <w:rPr>
                <w:rFonts w:ascii="Arial" w:eastAsia="Times New Roman" w:hAnsi="Arial" w:cs="Arial"/>
                <w:sz w:val="20"/>
                <w:szCs w:val="16"/>
                <w:lang w:val="en-US"/>
              </w:rPr>
              <w:t>%</w:t>
            </w:r>
          </w:p>
        </w:tc>
        <w:tc>
          <w:tcPr>
            <w:tcW w:w="1337" w:type="dxa"/>
            <w:gridSpan w:val="2"/>
            <w:shd w:val="clear" w:color="auto" w:fill="auto"/>
            <w:noWrap/>
            <w:vAlign w:val="bottom"/>
            <w:hideMark/>
          </w:tcPr>
          <w:p w14:paraId="0A1EF01E" w14:textId="29FFC222" w:rsidR="00121D00" w:rsidRPr="00E372A9" w:rsidRDefault="00606971" w:rsidP="00827858">
            <w:pPr>
              <w:spacing w:after="0" w:line="240" w:lineRule="auto"/>
              <w:ind w:left="-142" w:right="-88"/>
              <w:jc w:val="right"/>
              <w:rPr>
                <w:rFonts w:ascii="Arial" w:eastAsia="Times New Roman" w:hAnsi="Arial" w:cs="Arial"/>
                <w:sz w:val="20"/>
                <w:szCs w:val="16"/>
                <w:lang w:val="en-US"/>
              </w:rPr>
            </w:pPr>
            <w:r>
              <w:rPr>
                <w:rFonts w:ascii="Arial" w:eastAsia="Times New Roman" w:hAnsi="Arial" w:cs="Arial"/>
                <w:sz w:val="20"/>
                <w:szCs w:val="16"/>
                <w:lang w:val="en-US"/>
              </w:rPr>
              <w:t>2.87</w:t>
            </w:r>
            <w:r w:rsidR="00121D00" w:rsidRPr="00E372A9">
              <w:rPr>
                <w:rFonts w:ascii="Arial" w:eastAsia="Times New Roman" w:hAnsi="Arial" w:cs="Arial"/>
                <w:sz w:val="20"/>
                <w:szCs w:val="16"/>
                <w:lang w:val="en-US"/>
              </w:rPr>
              <w:t>%</w:t>
            </w:r>
          </w:p>
        </w:tc>
      </w:tr>
      <w:tr w:rsidR="00121D00" w:rsidRPr="00676CB8" w14:paraId="18BB0399" w14:textId="77777777" w:rsidTr="00827858">
        <w:trPr>
          <w:trHeight w:val="433"/>
        </w:trPr>
        <w:tc>
          <w:tcPr>
            <w:tcW w:w="2299" w:type="dxa"/>
            <w:gridSpan w:val="2"/>
            <w:shd w:val="clear" w:color="auto" w:fill="auto"/>
            <w:noWrap/>
            <w:vAlign w:val="bottom"/>
            <w:hideMark/>
          </w:tcPr>
          <w:p w14:paraId="59FB4F1F" w14:textId="77777777" w:rsidR="00121D00" w:rsidRPr="00E372A9" w:rsidRDefault="00121D00" w:rsidP="00827858">
            <w:pPr>
              <w:spacing w:after="0" w:line="240" w:lineRule="auto"/>
              <w:ind w:left="-142" w:right="-88"/>
              <w:rPr>
                <w:rFonts w:ascii="Arial" w:eastAsia="Times New Roman" w:hAnsi="Arial" w:cs="Arial"/>
                <w:b/>
                <w:bCs/>
                <w:sz w:val="20"/>
                <w:szCs w:val="16"/>
                <w:lang w:val="en-US"/>
              </w:rPr>
            </w:pPr>
            <w:r w:rsidRPr="00E372A9">
              <w:rPr>
                <w:rFonts w:ascii="Arial" w:eastAsia="Times New Roman" w:hAnsi="Arial" w:cs="Arial"/>
                <w:b/>
                <w:bCs/>
                <w:sz w:val="20"/>
                <w:szCs w:val="16"/>
                <w:lang w:val="en-US"/>
              </w:rPr>
              <w:t xml:space="preserve"> Fixed</w:t>
            </w:r>
          </w:p>
        </w:tc>
        <w:tc>
          <w:tcPr>
            <w:tcW w:w="1118" w:type="dxa"/>
            <w:gridSpan w:val="2"/>
            <w:shd w:val="clear" w:color="auto" w:fill="auto"/>
            <w:noWrap/>
            <w:vAlign w:val="bottom"/>
            <w:hideMark/>
          </w:tcPr>
          <w:p w14:paraId="19172DAF" w14:textId="2B22AC89" w:rsidR="00121D00" w:rsidRPr="00E372A9" w:rsidRDefault="00F26160"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28.07</w:t>
            </w:r>
            <w:r w:rsidR="00121D00" w:rsidRPr="00E372A9">
              <w:rPr>
                <w:rFonts w:ascii="Arial" w:eastAsia="Times New Roman" w:hAnsi="Arial" w:cs="Arial"/>
                <w:b/>
                <w:bCs/>
                <w:sz w:val="20"/>
                <w:szCs w:val="16"/>
                <w:lang w:val="en-US"/>
              </w:rPr>
              <w:t>%</w:t>
            </w:r>
          </w:p>
        </w:tc>
        <w:tc>
          <w:tcPr>
            <w:tcW w:w="1204" w:type="dxa"/>
            <w:gridSpan w:val="2"/>
            <w:shd w:val="clear" w:color="auto" w:fill="auto"/>
            <w:noWrap/>
            <w:vAlign w:val="bottom"/>
            <w:hideMark/>
          </w:tcPr>
          <w:p w14:paraId="294048C0" w14:textId="7A1AB53C" w:rsidR="00121D00" w:rsidRPr="00E372A9" w:rsidRDefault="00F26160"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28.08</w:t>
            </w:r>
            <w:r w:rsidR="00121D00"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14:paraId="2233ADBE" w14:textId="27C2D560" w:rsidR="00121D00" w:rsidRPr="00E372A9" w:rsidRDefault="00F26160"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29.01</w:t>
            </w:r>
            <w:r w:rsidR="00121D00" w:rsidRPr="00E372A9">
              <w:rPr>
                <w:rFonts w:ascii="Arial" w:eastAsia="Times New Roman" w:hAnsi="Arial" w:cs="Arial"/>
                <w:b/>
                <w:bCs/>
                <w:sz w:val="20"/>
                <w:szCs w:val="16"/>
                <w:lang w:val="en-US"/>
              </w:rPr>
              <w:t>%</w:t>
            </w:r>
          </w:p>
        </w:tc>
        <w:tc>
          <w:tcPr>
            <w:tcW w:w="1193" w:type="dxa"/>
            <w:gridSpan w:val="2"/>
            <w:shd w:val="clear" w:color="auto" w:fill="auto"/>
            <w:noWrap/>
            <w:vAlign w:val="bottom"/>
            <w:hideMark/>
          </w:tcPr>
          <w:p w14:paraId="339D0A25" w14:textId="44C2D54A" w:rsidR="00121D00" w:rsidRPr="00E372A9" w:rsidRDefault="00606971" w:rsidP="00827858">
            <w:pPr>
              <w:spacing w:after="0" w:line="240" w:lineRule="auto"/>
              <w:ind w:left="-142" w:right="-88"/>
              <w:jc w:val="center"/>
              <w:rPr>
                <w:rFonts w:ascii="Arial" w:eastAsia="Times New Roman" w:hAnsi="Arial" w:cs="Arial"/>
                <w:b/>
                <w:bCs/>
                <w:sz w:val="20"/>
                <w:szCs w:val="16"/>
                <w:lang w:val="en-US"/>
              </w:rPr>
            </w:pPr>
            <w:r>
              <w:rPr>
                <w:rFonts w:ascii="Arial" w:eastAsia="Times New Roman" w:hAnsi="Arial" w:cs="Arial"/>
                <w:b/>
                <w:bCs/>
                <w:sz w:val="20"/>
                <w:szCs w:val="16"/>
                <w:lang w:val="en-US"/>
              </w:rPr>
              <w:t>27.95</w:t>
            </w:r>
            <w:r w:rsidR="00121D00" w:rsidRPr="00E372A9">
              <w:rPr>
                <w:rFonts w:ascii="Arial" w:eastAsia="Times New Roman" w:hAnsi="Arial" w:cs="Arial"/>
                <w:b/>
                <w:bCs/>
                <w:sz w:val="20"/>
                <w:szCs w:val="16"/>
                <w:lang w:val="en-US"/>
              </w:rPr>
              <w:t>%</w:t>
            </w:r>
          </w:p>
        </w:tc>
        <w:tc>
          <w:tcPr>
            <w:tcW w:w="1048" w:type="dxa"/>
            <w:shd w:val="clear" w:color="auto" w:fill="auto"/>
            <w:noWrap/>
            <w:vAlign w:val="bottom"/>
            <w:hideMark/>
          </w:tcPr>
          <w:p w14:paraId="2A9B0928" w14:textId="2271FDCA" w:rsidR="00121D00" w:rsidRPr="00E372A9" w:rsidRDefault="00606971" w:rsidP="00827858">
            <w:pPr>
              <w:spacing w:after="0" w:line="240" w:lineRule="auto"/>
              <w:ind w:left="-142" w:right="-88"/>
              <w:jc w:val="right"/>
              <w:rPr>
                <w:rFonts w:ascii="Arial" w:eastAsia="Times New Roman" w:hAnsi="Arial" w:cs="Arial"/>
                <w:b/>
                <w:bCs/>
                <w:sz w:val="20"/>
                <w:szCs w:val="16"/>
                <w:lang w:val="en-US"/>
              </w:rPr>
            </w:pPr>
            <w:r>
              <w:rPr>
                <w:rFonts w:ascii="Arial" w:eastAsia="Times New Roman" w:hAnsi="Arial" w:cs="Arial"/>
                <w:b/>
                <w:bCs/>
                <w:sz w:val="20"/>
                <w:szCs w:val="16"/>
                <w:lang w:val="en-US"/>
              </w:rPr>
              <w:t>28.23</w:t>
            </w:r>
            <w:r w:rsidR="00121D00" w:rsidRPr="00E372A9">
              <w:rPr>
                <w:rFonts w:ascii="Arial" w:eastAsia="Times New Roman" w:hAnsi="Arial" w:cs="Arial"/>
                <w:b/>
                <w:bCs/>
                <w:sz w:val="20"/>
                <w:szCs w:val="16"/>
                <w:lang w:val="en-US"/>
              </w:rPr>
              <w:t>%</w:t>
            </w:r>
          </w:p>
        </w:tc>
      </w:tr>
    </w:tbl>
    <w:p w14:paraId="64474BF4" w14:textId="77777777" w:rsidR="00EB262C" w:rsidRDefault="00EB262C" w:rsidP="00121D00">
      <w:pPr>
        <w:spacing w:after="0" w:line="240" w:lineRule="auto"/>
        <w:ind w:right="-330"/>
        <w:rPr>
          <w:rFonts w:cs="Calibri"/>
        </w:rPr>
      </w:pPr>
    </w:p>
    <w:p w14:paraId="15C464E5" w14:textId="77777777" w:rsidR="00C5075D" w:rsidRDefault="00C5075D" w:rsidP="00C5075D">
      <w:pPr>
        <w:spacing w:after="0" w:line="240" w:lineRule="auto"/>
        <w:ind w:left="-284" w:right="-330"/>
        <w:rPr>
          <w:rFonts w:cs="Calibri"/>
        </w:rPr>
      </w:pPr>
      <w:r>
        <w:rPr>
          <w:rFonts w:cs="Calibri"/>
          <w:b/>
          <w:sz w:val="20"/>
          <w:szCs w:val="20"/>
          <w:u w:val="single"/>
        </w:rPr>
        <w:t>For further information or to arrange an interview with John Flavell, please contact:</w:t>
      </w:r>
    </w:p>
    <w:p w14:paraId="2A5F6A0D" w14:textId="77777777" w:rsidR="00C5075D" w:rsidRDefault="00C5075D" w:rsidP="00C5075D">
      <w:pPr>
        <w:spacing w:after="0" w:line="240" w:lineRule="auto"/>
        <w:ind w:left="-284" w:right="-330"/>
        <w:rPr>
          <w:rFonts w:cs="Calibri"/>
        </w:rPr>
      </w:pPr>
    </w:p>
    <w:p w14:paraId="29744BCB" w14:textId="77777777" w:rsidR="007E3BC1" w:rsidRDefault="007E3BC1" w:rsidP="007E3BC1">
      <w:pPr>
        <w:spacing w:after="0" w:line="240" w:lineRule="auto"/>
        <w:ind w:left="-284" w:right="-330"/>
        <w:rPr>
          <w:rFonts w:cs="Calibri"/>
          <w:sz w:val="20"/>
          <w:szCs w:val="20"/>
        </w:rPr>
      </w:pPr>
      <w:r>
        <w:rPr>
          <w:rFonts w:cs="Calibri"/>
          <w:sz w:val="20"/>
          <w:szCs w:val="20"/>
        </w:rPr>
        <w:t>Jessica Darnbrough</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Brendan Wong</w:t>
      </w:r>
    </w:p>
    <w:p w14:paraId="6D8C60C4" w14:textId="77777777" w:rsidR="007E3BC1" w:rsidRPr="00E21DC1" w:rsidRDefault="007E3BC1" w:rsidP="007E3BC1">
      <w:pPr>
        <w:spacing w:after="0" w:line="240" w:lineRule="auto"/>
        <w:ind w:left="-284" w:right="-330"/>
        <w:rPr>
          <w:rFonts w:cs="Calibri"/>
          <w:sz w:val="20"/>
          <w:szCs w:val="20"/>
        </w:rPr>
      </w:pPr>
      <w:r>
        <w:rPr>
          <w:rFonts w:cs="Calibri"/>
          <w:sz w:val="20"/>
          <w:szCs w:val="20"/>
        </w:rPr>
        <w:t xml:space="preserve">Mortgage </w:t>
      </w:r>
      <w:r w:rsidRPr="00E21DC1">
        <w:rPr>
          <w:rFonts w:cs="Calibri"/>
          <w:sz w:val="20"/>
          <w:szCs w:val="20"/>
        </w:rPr>
        <w:t>Choice Corporate Affairs</w:t>
      </w:r>
      <w:r w:rsidRPr="00E21DC1">
        <w:rPr>
          <w:rFonts w:cs="Calibri"/>
          <w:sz w:val="20"/>
          <w:szCs w:val="20"/>
        </w:rPr>
        <w:tab/>
      </w:r>
      <w:r w:rsidRPr="00E21DC1">
        <w:rPr>
          <w:rFonts w:cs="Calibri"/>
          <w:sz w:val="20"/>
          <w:szCs w:val="20"/>
        </w:rPr>
        <w:tab/>
      </w:r>
      <w:r w:rsidRPr="00E21DC1">
        <w:rPr>
          <w:rFonts w:cs="Calibri"/>
          <w:sz w:val="20"/>
          <w:szCs w:val="20"/>
        </w:rPr>
        <w:tab/>
      </w:r>
      <w:r w:rsidRPr="00E21DC1">
        <w:rPr>
          <w:rFonts w:cs="Calibri"/>
          <w:sz w:val="20"/>
          <w:szCs w:val="20"/>
        </w:rPr>
        <w:tab/>
        <w:t>Mortgage Choice Corporate Affairs</w:t>
      </w:r>
      <w:r w:rsidRPr="00E21DC1">
        <w:rPr>
          <w:rFonts w:cs="Calibri"/>
          <w:sz w:val="20"/>
          <w:szCs w:val="20"/>
        </w:rPr>
        <w:tab/>
      </w:r>
      <w:r w:rsidRPr="00E21DC1">
        <w:rPr>
          <w:rFonts w:cs="Calibri"/>
          <w:sz w:val="20"/>
          <w:szCs w:val="20"/>
        </w:rPr>
        <w:tab/>
      </w:r>
    </w:p>
    <w:p w14:paraId="3D693DFB" w14:textId="77777777" w:rsidR="007E3BC1" w:rsidRPr="00E21DC1" w:rsidRDefault="007E3BC1" w:rsidP="007E3BC1">
      <w:pPr>
        <w:spacing w:after="0" w:line="240" w:lineRule="auto"/>
        <w:ind w:left="-284" w:right="-330"/>
        <w:rPr>
          <w:rFonts w:cs="Calibri"/>
          <w:sz w:val="20"/>
          <w:szCs w:val="20"/>
        </w:rPr>
      </w:pPr>
      <w:r w:rsidRPr="00E21DC1">
        <w:rPr>
          <w:rFonts w:cs="Calibri"/>
          <w:sz w:val="20"/>
          <w:szCs w:val="20"/>
        </w:rPr>
        <w:t>(02) 8907 0472 / 0431 717 665</w:t>
      </w:r>
      <w:r w:rsidRPr="00E21DC1">
        <w:rPr>
          <w:rFonts w:cs="Calibri"/>
          <w:sz w:val="20"/>
          <w:szCs w:val="20"/>
        </w:rPr>
        <w:tab/>
      </w:r>
      <w:r w:rsidRPr="00E21DC1">
        <w:rPr>
          <w:rFonts w:cs="Calibri"/>
          <w:sz w:val="20"/>
          <w:szCs w:val="20"/>
        </w:rPr>
        <w:tab/>
      </w:r>
      <w:r w:rsidRPr="00E21DC1">
        <w:rPr>
          <w:rFonts w:cs="Calibri"/>
          <w:sz w:val="20"/>
          <w:szCs w:val="20"/>
        </w:rPr>
        <w:tab/>
      </w:r>
      <w:r>
        <w:rPr>
          <w:rFonts w:cs="Calibri"/>
          <w:sz w:val="20"/>
          <w:szCs w:val="20"/>
        </w:rPr>
        <w:tab/>
      </w:r>
      <w:r w:rsidRPr="00E21DC1">
        <w:rPr>
          <w:rFonts w:cs="Calibri"/>
          <w:sz w:val="20"/>
          <w:szCs w:val="20"/>
        </w:rPr>
        <w:t>(02) 8907</w:t>
      </w:r>
      <w:r>
        <w:rPr>
          <w:rFonts w:cs="Calibri"/>
          <w:sz w:val="20"/>
          <w:szCs w:val="20"/>
        </w:rPr>
        <w:t xml:space="preserve"> </w:t>
      </w:r>
      <w:r w:rsidRPr="00E21DC1">
        <w:rPr>
          <w:rFonts w:cs="Calibri"/>
          <w:sz w:val="20"/>
          <w:szCs w:val="20"/>
        </w:rPr>
        <w:t xml:space="preserve">0502 / </w:t>
      </w:r>
      <w:r>
        <w:rPr>
          <w:rFonts w:cs="Calibri"/>
          <w:sz w:val="20"/>
          <w:szCs w:val="20"/>
        </w:rPr>
        <w:t>0414 299 282</w:t>
      </w:r>
    </w:p>
    <w:p w14:paraId="097BACEA" w14:textId="77777777" w:rsidR="007E3BC1" w:rsidRPr="00E21DC1" w:rsidRDefault="00CA5F0F" w:rsidP="007E3BC1">
      <w:pPr>
        <w:spacing w:after="0" w:line="240" w:lineRule="auto"/>
        <w:ind w:left="-284" w:right="-330"/>
        <w:rPr>
          <w:rFonts w:cs="Calibri"/>
          <w:color w:val="000000"/>
          <w:sz w:val="20"/>
          <w:szCs w:val="20"/>
        </w:rPr>
      </w:pPr>
      <w:hyperlink r:id="rId9" w:history="1">
        <w:r w:rsidR="007E3BC1" w:rsidRPr="00E21DC1">
          <w:rPr>
            <w:rStyle w:val="Hyperlink"/>
            <w:rFonts w:cs="Calibri"/>
            <w:sz w:val="20"/>
            <w:szCs w:val="20"/>
          </w:rPr>
          <w:t>Jessica.darnbrough@mortgagechoice.com.au</w:t>
        </w:r>
      </w:hyperlink>
      <w:r w:rsidR="007E3BC1" w:rsidRPr="00E21DC1">
        <w:rPr>
          <w:rFonts w:cs="Calibri"/>
          <w:sz w:val="20"/>
          <w:szCs w:val="20"/>
        </w:rPr>
        <w:t xml:space="preserve">   </w:t>
      </w:r>
      <w:r w:rsidR="007E3BC1" w:rsidRPr="00E21DC1">
        <w:rPr>
          <w:rFonts w:cs="Calibri"/>
          <w:color w:val="000000"/>
          <w:sz w:val="20"/>
          <w:szCs w:val="20"/>
        </w:rPr>
        <w:t xml:space="preserve">                                 </w:t>
      </w:r>
      <w:hyperlink r:id="rId10" w:history="1">
        <w:r w:rsidR="007E3BC1" w:rsidRPr="00E21DC1">
          <w:rPr>
            <w:rStyle w:val="Hyperlink"/>
            <w:sz w:val="20"/>
            <w:szCs w:val="20"/>
          </w:rPr>
          <w:t>brendan.wong@mortgagechoice.com.au</w:t>
        </w:r>
      </w:hyperlink>
      <w:r w:rsidR="007E3BC1" w:rsidRPr="00E21DC1">
        <w:rPr>
          <w:sz w:val="20"/>
          <w:szCs w:val="20"/>
        </w:rPr>
        <w:t xml:space="preserve"> </w:t>
      </w:r>
      <w:r w:rsidR="007E3BC1" w:rsidRPr="00E21DC1">
        <w:rPr>
          <w:rFonts w:cs="Calibri"/>
          <w:color w:val="000000"/>
          <w:sz w:val="20"/>
          <w:szCs w:val="20"/>
        </w:rPr>
        <w:tab/>
      </w:r>
    </w:p>
    <w:p w14:paraId="23751111" w14:textId="77777777" w:rsidR="00C5075D" w:rsidRDefault="00C5075D" w:rsidP="00A23F3F">
      <w:pPr>
        <w:spacing w:after="0" w:line="240" w:lineRule="auto"/>
        <w:ind w:right="-330"/>
        <w:rPr>
          <w:rFonts w:cs="Calibri"/>
          <w:b/>
          <w:sz w:val="20"/>
          <w:szCs w:val="20"/>
          <w:u w:val="single"/>
        </w:rPr>
      </w:pPr>
    </w:p>
    <w:p w14:paraId="5D1C768A" w14:textId="77777777" w:rsidR="00C5075D" w:rsidRDefault="00C5075D" w:rsidP="00C5075D">
      <w:pPr>
        <w:spacing w:after="0" w:line="240" w:lineRule="auto"/>
        <w:ind w:left="-284" w:right="-330"/>
        <w:rPr>
          <w:rFonts w:cs="Calibri"/>
          <w:color w:val="000000"/>
          <w:sz w:val="20"/>
          <w:szCs w:val="20"/>
        </w:rPr>
      </w:pPr>
      <w:r>
        <w:rPr>
          <w:rFonts w:cs="Calibri"/>
          <w:b/>
          <w:sz w:val="20"/>
          <w:szCs w:val="20"/>
          <w:u w:val="single"/>
        </w:rPr>
        <w:t>Important information</w:t>
      </w:r>
    </w:p>
    <w:p w14:paraId="27FC8345" w14:textId="77777777" w:rsidR="00C5075D" w:rsidRDefault="00C5075D" w:rsidP="00C5075D">
      <w:pPr>
        <w:spacing w:after="0" w:line="240" w:lineRule="auto"/>
        <w:ind w:left="-284" w:right="-330"/>
        <w:rPr>
          <w:rFonts w:cs="Calibri"/>
          <w:sz w:val="20"/>
          <w:szCs w:val="20"/>
        </w:rPr>
      </w:pPr>
      <w:r>
        <w:rPr>
          <w:rFonts w:cs="Calibri"/>
          <w:sz w:val="20"/>
          <w:szCs w:val="20"/>
        </w:rPr>
        <w:t>This article is for general information purposes only. It has been prepared without considering your objectives, financial situation or needs. You should, before acting on the advice, consider its appropriateness to your circumstances.</w:t>
      </w:r>
    </w:p>
    <w:p w14:paraId="1D44C091" w14:textId="77777777" w:rsidR="00C5075D" w:rsidRDefault="00C5075D" w:rsidP="00C5075D">
      <w:pPr>
        <w:spacing w:after="0" w:line="240" w:lineRule="auto"/>
        <w:ind w:left="-284" w:right="-330"/>
        <w:rPr>
          <w:rFonts w:cs="Calibri"/>
          <w:sz w:val="20"/>
          <w:szCs w:val="20"/>
        </w:rPr>
      </w:pPr>
    </w:p>
    <w:p w14:paraId="719C2DA0" w14:textId="77777777" w:rsidR="00C5075D" w:rsidRDefault="00C5075D" w:rsidP="00C5075D">
      <w:pPr>
        <w:spacing w:after="0" w:line="240" w:lineRule="auto"/>
        <w:ind w:left="-284" w:right="-330"/>
        <w:rPr>
          <w:rFonts w:cs="Calibri"/>
          <w:color w:val="000000"/>
          <w:sz w:val="20"/>
          <w:szCs w:val="20"/>
        </w:rPr>
      </w:pPr>
      <w:r>
        <w:rPr>
          <w:rFonts w:cs="Calibri"/>
          <w:b/>
          <w:sz w:val="20"/>
          <w:szCs w:val="20"/>
          <w:u w:val="single"/>
        </w:rPr>
        <w:t>About Mortgage Choice</w:t>
      </w:r>
    </w:p>
    <w:p w14:paraId="0F8F40C0" w14:textId="77777777" w:rsidR="00C5075D" w:rsidRDefault="00C5075D" w:rsidP="00C5075D">
      <w:pPr>
        <w:spacing w:after="0" w:line="240" w:lineRule="auto"/>
        <w:ind w:left="-284" w:right="-330"/>
        <w:rPr>
          <w:rFonts w:cs="Calibri"/>
          <w:color w:val="000000"/>
          <w:sz w:val="20"/>
          <w:szCs w:val="20"/>
        </w:rPr>
      </w:pPr>
      <w:r>
        <w:rPr>
          <w:rFonts w:cs="Calibri"/>
          <w:sz w:val="20"/>
          <w:szCs w:val="20"/>
          <w:lang w:val="en-US" w:eastAsia="en-AU"/>
        </w:rPr>
        <w:t>Mortgage Choice is an ASX listed company that seeks to help Australians with all of their financial needs.</w:t>
      </w:r>
    </w:p>
    <w:p w14:paraId="05B3AF57" w14:textId="77777777" w:rsidR="00C5075D" w:rsidRPr="00085BA2" w:rsidRDefault="00C5075D" w:rsidP="00C5075D">
      <w:pPr>
        <w:spacing w:after="0" w:line="240" w:lineRule="auto"/>
        <w:ind w:left="-284" w:right="-330"/>
        <w:rPr>
          <w:rFonts w:cs="Calibri"/>
          <w:color w:val="000000"/>
          <w:sz w:val="20"/>
          <w:szCs w:val="20"/>
        </w:rPr>
      </w:pPr>
      <w:r>
        <w:rPr>
          <w:rFonts w:cs="Calibri"/>
          <w:sz w:val="20"/>
          <w:szCs w:val="20"/>
          <w:lang w:val="en-US" w:eastAsia="en-AU"/>
        </w:rPr>
        <w:t xml:space="preserve">Established in 1992, Mortgage Choice was originally established to help Australians improve their financial situation by </w:t>
      </w:r>
      <w:r w:rsidRPr="00085BA2">
        <w:rPr>
          <w:rFonts w:cs="Calibri"/>
          <w:sz w:val="20"/>
          <w:szCs w:val="20"/>
          <w:lang w:val="en-US" w:eastAsia="en-AU"/>
        </w:rPr>
        <w:t>offering a choice of home loan providers, coupled with the expert advice of a mortgage professional.</w:t>
      </w:r>
    </w:p>
    <w:p w14:paraId="595A48D0" w14:textId="77777777" w:rsidR="00C5075D" w:rsidRPr="00085BA2" w:rsidRDefault="00C5075D" w:rsidP="00C5075D">
      <w:pPr>
        <w:spacing w:after="0" w:line="240" w:lineRule="auto"/>
        <w:ind w:left="-284" w:right="-330"/>
        <w:rPr>
          <w:rFonts w:cs="Calibri"/>
          <w:color w:val="000000"/>
          <w:sz w:val="20"/>
          <w:szCs w:val="20"/>
        </w:rPr>
      </w:pPr>
      <w:r w:rsidRPr="00085BA2">
        <w:rPr>
          <w:rFonts w:cs="Calibri"/>
          <w:sz w:val="20"/>
          <w:szCs w:val="20"/>
          <w:lang w:val="en-US" w:eastAsia="en-AU"/>
        </w:rPr>
        <w:t>Since that time, the company has grown and developed into a fully fledged financial services provider.</w:t>
      </w:r>
    </w:p>
    <w:p w14:paraId="77A833D8" w14:textId="77777777" w:rsidR="00C5075D" w:rsidRPr="00085BA2" w:rsidRDefault="00C5075D" w:rsidP="00C5075D">
      <w:pPr>
        <w:spacing w:after="0" w:line="240" w:lineRule="auto"/>
        <w:ind w:left="-284" w:right="-330"/>
        <w:rPr>
          <w:rFonts w:cs="Calibri"/>
          <w:color w:val="000000"/>
          <w:sz w:val="20"/>
          <w:szCs w:val="20"/>
        </w:rPr>
      </w:pPr>
      <w:r w:rsidRPr="00085BA2">
        <w:rPr>
          <w:rFonts w:cs="Calibri"/>
          <w:sz w:val="20"/>
          <w:szCs w:val="20"/>
          <w:lang w:val="en-US" w:eastAsia="en-AU"/>
        </w:rPr>
        <w:lastRenderedPageBreak/>
        <w:t>Today, Mortgage Choice helps customers source car loans, personal loans, credit cards, commercial loans, asset finance, deposit bonds, and risk and general insurance.</w:t>
      </w:r>
    </w:p>
    <w:p w14:paraId="0AD9CEF9" w14:textId="77777777" w:rsidR="00C5075D" w:rsidRPr="00085BA2" w:rsidRDefault="00C5075D" w:rsidP="00C5075D">
      <w:pPr>
        <w:spacing w:after="0" w:line="240" w:lineRule="auto"/>
        <w:ind w:left="-284" w:right="-330"/>
        <w:rPr>
          <w:rFonts w:cs="Calibri"/>
          <w:color w:val="000000"/>
          <w:sz w:val="20"/>
          <w:szCs w:val="20"/>
        </w:rPr>
      </w:pPr>
      <w:r w:rsidRPr="00085BA2">
        <w:rPr>
          <w:rFonts w:cs="Calibri"/>
          <w:sz w:val="20"/>
          <w:szCs w:val="20"/>
          <w:lang w:val="en-US" w:eastAsia="en-AU"/>
        </w:rPr>
        <w:t>Further, the company offers Australians access to real, relevant and affordable financial advice through our qualified financial advisers.</w:t>
      </w:r>
    </w:p>
    <w:p w14:paraId="60E5D057" w14:textId="77777777" w:rsidR="00C5075D" w:rsidRPr="00085BA2" w:rsidRDefault="00C5075D" w:rsidP="00C5075D">
      <w:pPr>
        <w:spacing w:after="0" w:line="240" w:lineRule="auto"/>
        <w:ind w:left="-284" w:right="-330"/>
        <w:rPr>
          <w:rFonts w:cs="Calibri"/>
          <w:color w:val="000000"/>
          <w:sz w:val="20"/>
          <w:szCs w:val="20"/>
        </w:rPr>
      </w:pPr>
      <w:r w:rsidRPr="00085BA2">
        <w:rPr>
          <w:rFonts w:cs="Calibri"/>
          <w:sz w:val="20"/>
          <w:szCs w:val="20"/>
          <w:lang w:val="en-US" w:eastAsia="en-AU"/>
        </w:rPr>
        <w:t>Mortgage Choice has no balance sheet or funding risk, and consistently delivers strong profits and attractive yields. It listed on the ASX in 2004 (MOC) and is a member of the Mortgage &amp; Finance Association of Australia (MFAA).</w:t>
      </w:r>
    </w:p>
    <w:p w14:paraId="6B76880C" w14:textId="77777777" w:rsidR="00C5075D" w:rsidRPr="00085BA2" w:rsidRDefault="00C5075D" w:rsidP="00C5075D">
      <w:pPr>
        <w:spacing w:after="0" w:line="240" w:lineRule="auto"/>
        <w:ind w:left="-284" w:right="-330"/>
        <w:rPr>
          <w:rFonts w:cs="Calibri"/>
          <w:sz w:val="20"/>
          <w:szCs w:val="20"/>
          <w:lang w:val="en-US" w:eastAsia="en-AU"/>
        </w:rPr>
      </w:pPr>
      <w:r w:rsidRPr="00085BA2">
        <w:rPr>
          <w:rFonts w:cs="Calibri"/>
          <w:sz w:val="20"/>
          <w:szCs w:val="20"/>
          <w:lang w:val="en-US" w:eastAsia="en-AU"/>
        </w:rPr>
        <w:t>Mortgage Choice holds an Australian Credit Licence: no. 382869 and Mortgage Choice Financial Planning Pty Limited holds an Australian Financial Services Licence: no. 422854. Both licences are issued by ASIC.</w:t>
      </w:r>
    </w:p>
    <w:p w14:paraId="3D4E2A86" w14:textId="77777777" w:rsidR="00C5075D" w:rsidRDefault="00C5075D" w:rsidP="00A841AE">
      <w:pPr>
        <w:spacing w:after="0" w:line="240" w:lineRule="auto"/>
        <w:ind w:left="-284" w:right="-330"/>
      </w:pPr>
      <w:r w:rsidRPr="00085BA2">
        <w:rPr>
          <w:rFonts w:cs="Arial"/>
          <w:sz w:val="20"/>
          <w:szCs w:val="20"/>
          <w:lang w:val="en-US"/>
        </w:rPr>
        <w:t xml:space="preserve">Visit </w:t>
      </w:r>
      <w:hyperlink r:id="rId11" w:tgtFrame="_blank" w:history="1">
        <w:r w:rsidRPr="00085BA2">
          <w:rPr>
            <w:rStyle w:val="Hyperlink"/>
            <w:rFonts w:cs="Arial"/>
            <w:sz w:val="20"/>
            <w:szCs w:val="20"/>
          </w:rPr>
          <w:t>www.mortgagechoice.com.au</w:t>
        </w:r>
      </w:hyperlink>
      <w:r w:rsidRPr="00085BA2">
        <w:rPr>
          <w:rFonts w:cs="Arial"/>
          <w:sz w:val="20"/>
          <w:szCs w:val="20"/>
          <w:lang w:val="en-US"/>
        </w:rPr>
        <w:t xml:space="preserve"> or call customer service on 13 6678.</w:t>
      </w:r>
    </w:p>
    <w:p w14:paraId="7AC21B63" w14:textId="77777777" w:rsidR="00A73E6F" w:rsidRDefault="00A73E6F"/>
    <w:sectPr w:rsidR="00A73E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87654" w14:textId="77777777" w:rsidR="00AB5561" w:rsidRDefault="00AB5561" w:rsidP="00C5075D">
      <w:pPr>
        <w:spacing w:after="0" w:line="240" w:lineRule="auto"/>
      </w:pPr>
      <w:r>
        <w:separator/>
      </w:r>
    </w:p>
  </w:endnote>
  <w:endnote w:type="continuationSeparator" w:id="0">
    <w:p w14:paraId="2DB95FFF" w14:textId="77777777" w:rsidR="00AB5561" w:rsidRDefault="00AB5561" w:rsidP="00C5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B0782" w14:textId="77777777" w:rsidR="00AB5561" w:rsidRDefault="00AB5561" w:rsidP="00C5075D">
      <w:pPr>
        <w:spacing w:after="0" w:line="240" w:lineRule="auto"/>
      </w:pPr>
      <w:r>
        <w:separator/>
      </w:r>
    </w:p>
  </w:footnote>
  <w:footnote w:type="continuationSeparator" w:id="0">
    <w:p w14:paraId="7EFBDAD0" w14:textId="77777777" w:rsidR="00AB5561" w:rsidRDefault="00AB5561" w:rsidP="00C50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521A" w14:textId="40C4DD42" w:rsidR="00960F09" w:rsidRDefault="008E70B1" w:rsidP="00C324F8">
    <w:pPr>
      <w:pStyle w:val="Header"/>
    </w:pPr>
    <w:r>
      <w:rPr>
        <w:noProof/>
        <w:lang w:eastAsia="en-AU"/>
      </w:rPr>
      <w:drawing>
        <wp:anchor distT="0" distB="0" distL="114300" distR="114300" simplePos="0" relativeHeight="251660288" behindDoc="0" locked="0" layoutInCell="1" allowOverlap="1" wp14:anchorId="5B691068" wp14:editId="5E301D22">
          <wp:simplePos x="0" y="0"/>
          <wp:positionH relativeFrom="column">
            <wp:posOffset>-176984</wp:posOffset>
          </wp:positionH>
          <wp:positionV relativeFrom="paragraph">
            <wp:posOffset>237853</wp:posOffset>
          </wp:positionV>
          <wp:extent cx="1537335" cy="282575"/>
          <wp:effectExtent l="0" t="0" r="12065" b="0"/>
          <wp:wrapNone/>
          <wp:docPr id="2" name="Picture 2" descr="/Users/mccorporateaffairs/Documents/celebrating 25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ccorporateaffairs/Documents/celebrating 25 yea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4F8">
      <w:rPr>
        <w:b/>
        <w:noProof/>
        <w:color w:val="007491"/>
        <w:sz w:val="44"/>
        <w:szCs w:val="33"/>
        <w:lang w:eastAsia="en-AU"/>
      </w:rPr>
      <w:drawing>
        <wp:anchor distT="0" distB="0" distL="114300" distR="114300" simplePos="0" relativeHeight="251658240" behindDoc="0" locked="0" layoutInCell="1" allowOverlap="1" wp14:anchorId="5A809992" wp14:editId="60C66734">
          <wp:simplePos x="0" y="0"/>
          <wp:positionH relativeFrom="column">
            <wp:posOffset>3820160</wp:posOffset>
          </wp:positionH>
          <wp:positionV relativeFrom="paragraph">
            <wp:posOffset>125095</wp:posOffset>
          </wp:positionV>
          <wp:extent cx="1861185" cy="464185"/>
          <wp:effectExtent l="0" t="0" r="0" b="0"/>
          <wp:wrapTight wrapText="right">
            <wp:wrapPolygon edited="0">
              <wp:start x="0" y="0"/>
              <wp:lineTo x="0" y="20093"/>
              <wp:lineTo x="21224" y="20093"/>
              <wp:lineTo x="21224" y="0"/>
              <wp:lineTo x="0" y="0"/>
            </wp:wrapPolygon>
          </wp:wrapTight>
          <wp:docPr id="3" name="Picture 3" descr="../../shared-2/Logos/MORTGAGE_CHOICE_LOGO_LIBRARY_19MAY2014/PRINT/JPG/MC_Logo_H_POS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2/Logos/MORTGAGE_CHOICE_LOGO_LIBRARY_19MAY2014/PRINT/JPG/MC_Logo_H_POS_4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118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4F8">
      <w:tab/>
    </w:r>
    <w:r w:rsidR="00C324F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099"/>
    <w:multiLevelType w:val="hybridMultilevel"/>
    <w:tmpl w:val="FFD2AEEC"/>
    <w:lvl w:ilvl="0" w:tplc="316442C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 w15:restartNumberingAfterBreak="0">
    <w:nsid w:val="2AE372FB"/>
    <w:multiLevelType w:val="hybridMultilevel"/>
    <w:tmpl w:val="2F82D978"/>
    <w:lvl w:ilvl="0" w:tplc="5224C63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5D"/>
    <w:rsid w:val="00013D54"/>
    <w:rsid w:val="00014EE5"/>
    <w:rsid w:val="0001507D"/>
    <w:rsid w:val="00017499"/>
    <w:rsid w:val="00033C7B"/>
    <w:rsid w:val="00034A16"/>
    <w:rsid w:val="00062745"/>
    <w:rsid w:val="00074E2B"/>
    <w:rsid w:val="000B0614"/>
    <w:rsid w:val="000C046F"/>
    <w:rsid w:val="000C6B13"/>
    <w:rsid w:val="000E27C0"/>
    <w:rsid w:val="000F1389"/>
    <w:rsid w:val="0011515B"/>
    <w:rsid w:val="00121D00"/>
    <w:rsid w:val="00125F3E"/>
    <w:rsid w:val="001320C5"/>
    <w:rsid w:val="0015668B"/>
    <w:rsid w:val="001707E8"/>
    <w:rsid w:val="00170F10"/>
    <w:rsid w:val="0017555C"/>
    <w:rsid w:val="001A2E88"/>
    <w:rsid w:val="001B1084"/>
    <w:rsid w:val="001B2679"/>
    <w:rsid w:val="001D1135"/>
    <w:rsid w:val="001F1828"/>
    <w:rsid w:val="001F1EB7"/>
    <w:rsid w:val="00200777"/>
    <w:rsid w:val="00210625"/>
    <w:rsid w:val="0021320E"/>
    <w:rsid w:val="00221E45"/>
    <w:rsid w:val="002430D2"/>
    <w:rsid w:val="002615CE"/>
    <w:rsid w:val="002622F7"/>
    <w:rsid w:val="002B35A3"/>
    <w:rsid w:val="002B69F1"/>
    <w:rsid w:val="002C705B"/>
    <w:rsid w:val="002D289C"/>
    <w:rsid w:val="002D2F7A"/>
    <w:rsid w:val="002F2016"/>
    <w:rsid w:val="00306854"/>
    <w:rsid w:val="0032145D"/>
    <w:rsid w:val="00336A57"/>
    <w:rsid w:val="00346749"/>
    <w:rsid w:val="00361BA9"/>
    <w:rsid w:val="00364CB6"/>
    <w:rsid w:val="003749FE"/>
    <w:rsid w:val="00385509"/>
    <w:rsid w:val="003E7F76"/>
    <w:rsid w:val="003F385F"/>
    <w:rsid w:val="004062F0"/>
    <w:rsid w:val="00457622"/>
    <w:rsid w:val="0047405B"/>
    <w:rsid w:val="00483D97"/>
    <w:rsid w:val="00484C07"/>
    <w:rsid w:val="00485738"/>
    <w:rsid w:val="00486FED"/>
    <w:rsid w:val="004D5AFE"/>
    <w:rsid w:val="004F241E"/>
    <w:rsid w:val="004F4545"/>
    <w:rsid w:val="00503293"/>
    <w:rsid w:val="00524E2D"/>
    <w:rsid w:val="00526763"/>
    <w:rsid w:val="0053288D"/>
    <w:rsid w:val="00532B01"/>
    <w:rsid w:val="0054116F"/>
    <w:rsid w:val="005462BB"/>
    <w:rsid w:val="005467E8"/>
    <w:rsid w:val="00563417"/>
    <w:rsid w:val="00570EDA"/>
    <w:rsid w:val="00571357"/>
    <w:rsid w:val="005757B8"/>
    <w:rsid w:val="00577298"/>
    <w:rsid w:val="00595168"/>
    <w:rsid w:val="005A02E5"/>
    <w:rsid w:val="005D175A"/>
    <w:rsid w:val="005D6050"/>
    <w:rsid w:val="005E066B"/>
    <w:rsid w:val="005E75FA"/>
    <w:rsid w:val="005F00CA"/>
    <w:rsid w:val="005F625B"/>
    <w:rsid w:val="00600984"/>
    <w:rsid w:val="00606971"/>
    <w:rsid w:val="0064452F"/>
    <w:rsid w:val="00654EE1"/>
    <w:rsid w:val="00656E47"/>
    <w:rsid w:val="0067760F"/>
    <w:rsid w:val="006A1B5F"/>
    <w:rsid w:val="006C56A6"/>
    <w:rsid w:val="006D36A8"/>
    <w:rsid w:val="006E5A3F"/>
    <w:rsid w:val="00705C2F"/>
    <w:rsid w:val="007271B2"/>
    <w:rsid w:val="00737043"/>
    <w:rsid w:val="00742DAB"/>
    <w:rsid w:val="0075173C"/>
    <w:rsid w:val="0076089A"/>
    <w:rsid w:val="007616E4"/>
    <w:rsid w:val="007620EC"/>
    <w:rsid w:val="007652CD"/>
    <w:rsid w:val="00772E2F"/>
    <w:rsid w:val="00780D8C"/>
    <w:rsid w:val="00781705"/>
    <w:rsid w:val="00791457"/>
    <w:rsid w:val="007943FA"/>
    <w:rsid w:val="007A0F72"/>
    <w:rsid w:val="007B67D4"/>
    <w:rsid w:val="007D4898"/>
    <w:rsid w:val="007E36A4"/>
    <w:rsid w:val="007E3BC1"/>
    <w:rsid w:val="007F3A03"/>
    <w:rsid w:val="007F6850"/>
    <w:rsid w:val="00800825"/>
    <w:rsid w:val="00805DEE"/>
    <w:rsid w:val="0080624B"/>
    <w:rsid w:val="0080668D"/>
    <w:rsid w:val="0081196F"/>
    <w:rsid w:val="00822981"/>
    <w:rsid w:val="00827CAC"/>
    <w:rsid w:val="00836BE1"/>
    <w:rsid w:val="00846846"/>
    <w:rsid w:val="00852925"/>
    <w:rsid w:val="00866B22"/>
    <w:rsid w:val="0088131D"/>
    <w:rsid w:val="008910A7"/>
    <w:rsid w:val="00892549"/>
    <w:rsid w:val="00893250"/>
    <w:rsid w:val="008961D2"/>
    <w:rsid w:val="008B5644"/>
    <w:rsid w:val="008E167F"/>
    <w:rsid w:val="008E30B6"/>
    <w:rsid w:val="008E70B1"/>
    <w:rsid w:val="008F4D64"/>
    <w:rsid w:val="00934A74"/>
    <w:rsid w:val="00940567"/>
    <w:rsid w:val="00952A34"/>
    <w:rsid w:val="00953B93"/>
    <w:rsid w:val="00954B38"/>
    <w:rsid w:val="00957D7B"/>
    <w:rsid w:val="00960F09"/>
    <w:rsid w:val="0096678A"/>
    <w:rsid w:val="00967046"/>
    <w:rsid w:val="00976B48"/>
    <w:rsid w:val="009C44A8"/>
    <w:rsid w:val="009E2A36"/>
    <w:rsid w:val="009E446C"/>
    <w:rsid w:val="009E4D84"/>
    <w:rsid w:val="00A0163B"/>
    <w:rsid w:val="00A1446F"/>
    <w:rsid w:val="00A20E1D"/>
    <w:rsid w:val="00A23993"/>
    <w:rsid w:val="00A23F3F"/>
    <w:rsid w:val="00A262FF"/>
    <w:rsid w:val="00A40B00"/>
    <w:rsid w:val="00A55892"/>
    <w:rsid w:val="00A67877"/>
    <w:rsid w:val="00A73E6F"/>
    <w:rsid w:val="00A84031"/>
    <w:rsid w:val="00A841AE"/>
    <w:rsid w:val="00A842B2"/>
    <w:rsid w:val="00A92137"/>
    <w:rsid w:val="00A97EE5"/>
    <w:rsid w:val="00AB5561"/>
    <w:rsid w:val="00AC0BCF"/>
    <w:rsid w:val="00B0187E"/>
    <w:rsid w:val="00B06A8C"/>
    <w:rsid w:val="00B1179D"/>
    <w:rsid w:val="00B149EB"/>
    <w:rsid w:val="00B24CFA"/>
    <w:rsid w:val="00B33C27"/>
    <w:rsid w:val="00B46A3C"/>
    <w:rsid w:val="00B61096"/>
    <w:rsid w:val="00B7693F"/>
    <w:rsid w:val="00B837C8"/>
    <w:rsid w:val="00B929B8"/>
    <w:rsid w:val="00BA7813"/>
    <w:rsid w:val="00BA7E1C"/>
    <w:rsid w:val="00BC59E0"/>
    <w:rsid w:val="00BD2F9B"/>
    <w:rsid w:val="00BE2DD7"/>
    <w:rsid w:val="00BE6EBD"/>
    <w:rsid w:val="00BF2ACC"/>
    <w:rsid w:val="00BF3ECB"/>
    <w:rsid w:val="00C116B7"/>
    <w:rsid w:val="00C11E1B"/>
    <w:rsid w:val="00C324F8"/>
    <w:rsid w:val="00C42D22"/>
    <w:rsid w:val="00C5075D"/>
    <w:rsid w:val="00C51F40"/>
    <w:rsid w:val="00C55B09"/>
    <w:rsid w:val="00C60040"/>
    <w:rsid w:val="00C66A43"/>
    <w:rsid w:val="00C72235"/>
    <w:rsid w:val="00C822A1"/>
    <w:rsid w:val="00C905B0"/>
    <w:rsid w:val="00CA1BF3"/>
    <w:rsid w:val="00CA5F0F"/>
    <w:rsid w:val="00CA68B7"/>
    <w:rsid w:val="00CC40A8"/>
    <w:rsid w:val="00CF6B9D"/>
    <w:rsid w:val="00CF735F"/>
    <w:rsid w:val="00D12D29"/>
    <w:rsid w:val="00D304B9"/>
    <w:rsid w:val="00D509C5"/>
    <w:rsid w:val="00DA43F7"/>
    <w:rsid w:val="00DB51F5"/>
    <w:rsid w:val="00DC53A8"/>
    <w:rsid w:val="00DD464E"/>
    <w:rsid w:val="00DD48DF"/>
    <w:rsid w:val="00DE4B99"/>
    <w:rsid w:val="00DF5656"/>
    <w:rsid w:val="00DF6AA0"/>
    <w:rsid w:val="00E12CD4"/>
    <w:rsid w:val="00E1331C"/>
    <w:rsid w:val="00E13F83"/>
    <w:rsid w:val="00E35D8C"/>
    <w:rsid w:val="00E52544"/>
    <w:rsid w:val="00E53FCD"/>
    <w:rsid w:val="00E54298"/>
    <w:rsid w:val="00E553FF"/>
    <w:rsid w:val="00E60019"/>
    <w:rsid w:val="00E84726"/>
    <w:rsid w:val="00E86C1E"/>
    <w:rsid w:val="00EB262C"/>
    <w:rsid w:val="00EC7A6F"/>
    <w:rsid w:val="00EE0BDB"/>
    <w:rsid w:val="00EE167C"/>
    <w:rsid w:val="00F1175E"/>
    <w:rsid w:val="00F13F13"/>
    <w:rsid w:val="00F26160"/>
    <w:rsid w:val="00F34C5D"/>
    <w:rsid w:val="00F3573F"/>
    <w:rsid w:val="00F52FB4"/>
    <w:rsid w:val="00F57E2D"/>
    <w:rsid w:val="00F61121"/>
    <w:rsid w:val="00F656DE"/>
    <w:rsid w:val="00F90C69"/>
    <w:rsid w:val="00F966FC"/>
    <w:rsid w:val="00FB2462"/>
    <w:rsid w:val="00FC17DF"/>
    <w:rsid w:val="00FE5115"/>
    <w:rsid w:val="00FF55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D65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075D"/>
    <w:rPr>
      <w:color w:val="336699"/>
      <w:u w:val="single"/>
    </w:rPr>
  </w:style>
  <w:style w:type="paragraph" w:styleId="Header">
    <w:name w:val="header"/>
    <w:basedOn w:val="Normal"/>
    <w:link w:val="HeaderChar"/>
    <w:uiPriority w:val="99"/>
    <w:unhideWhenUsed/>
    <w:rsid w:val="00C5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75D"/>
  </w:style>
  <w:style w:type="paragraph" w:customStyle="1" w:styleId="ColorfulList-Accent11">
    <w:name w:val="Colorful List - Accent 11"/>
    <w:basedOn w:val="Normal"/>
    <w:uiPriority w:val="34"/>
    <w:qFormat/>
    <w:rsid w:val="00C5075D"/>
    <w:pPr>
      <w:spacing w:after="200" w:line="276" w:lineRule="auto"/>
      <w:ind w:left="720"/>
      <w:contextualSpacing/>
    </w:pPr>
    <w:rPr>
      <w:rFonts w:ascii="Calibri" w:eastAsia="Calibri" w:hAnsi="Calibri" w:cs="Times New Roman"/>
      <w:lang w:val="en-US"/>
    </w:rPr>
  </w:style>
  <w:style w:type="paragraph" w:styleId="ListParagraph">
    <w:name w:val="List Paragraph"/>
    <w:basedOn w:val="Normal"/>
    <w:uiPriority w:val="34"/>
    <w:qFormat/>
    <w:rsid w:val="00C5075D"/>
    <w:pPr>
      <w:ind w:left="720"/>
      <w:contextualSpacing/>
    </w:pPr>
  </w:style>
  <w:style w:type="paragraph" w:styleId="Footer">
    <w:name w:val="footer"/>
    <w:basedOn w:val="Normal"/>
    <w:link w:val="FooterChar"/>
    <w:uiPriority w:val="99"/>
    <w:unhideWhenUsed/>
    <w:rsid w:val="00C5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75D"/>
  </w:style>
  <w:style w:type="paragraph" w:styleId="BodyText">
    <w:name w:val="Body Text"/>
    <w:basedOn w:val="Normal"/>
    <w:link w:val="BodyTextChar"/>
    <w:semiHidden/>
    <w:rsid w:val="00121D00"/>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121D00"/>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7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tgagechoice.com.au/about-us/homeloan-choices-newslet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tgagechoice.com.au/" TargetMode="External"/><Relationship Id="rId5" Type="http://schemas.openxmlformats.org/officeDocument/2006/relationships/footnotes" Target="footnotes.xml"/><Relationship Id="rId10" Type="http://schemas.openxmlformats.org/officeDocument/2006/relationships/hyperlink" Target="mailto:brendan.wong@mortgagechoice.com.au" TargetMode="External"/><Relationship Id="rId4" Type="http://schemas.openxmlformats.org/officeDocument/2006/relationships/webSettings" Target="webSettings.xml"/><Relationship Id="rId9" Type="http://schemas.openxmlformats.org/officeDocument/2006/relationships/hyperlink" Target="mailto:Jessica.darnbrough@mortgagechoic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Mortgage Choice</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Wong</dc:creator>
  <cp:keywords/>
  <dc:description/>
  <cp:lastModifiedBy>Graciela Gomez</cp:lastModifiedBy>
  <cp:revision>3</cp:revision>
  <dcterms:created xsi:type="dcterms:W3CDTF">2017-10-05T04:33:00Z</dcterms:created>
  <dcterms:modified xsi:type="dcterms:W3CDTF">2017-10-05T22:31:00Z</dcterms:modified>
</cp:coreProperties>
</file>