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CA4" w:rsidRPr="00780BBC" w:rsidRDefault="00780BBC" w:rsidP="00741FB8">
      <w:pPr>
        <w:spacing w:after="0" w:line="240" w:lineRule="auto"/>
        <w:ind w:left="-284" w:right="-330"/>
        <w:rPr>
          <w:b/>
          <w:color w:val="007491"/>
          <w:sz w:val="28"/>
          <w:szCs w:val="30"/>
        </w:rPr>
      </w:pPr>
      <w:r w:rsidRPr="00780BBC">
        <w:rPr>
          <w:b/>
          <w:color w:val="007491"/>
          <w:sz w:val="28"/>
          <w:szCs w:val="30"/>
        </w:rPr>
        <w:t>Homeloan Choices Bulletin</w:t>
      </w:r>
    </w:p>
    <w:p w:rsidR="00A5223C" w:rsidRPr="004F652C" w:rsidRDefault="0061544A" w:rsidP="00741FB8">
      <w:pPr>
        <w:spacing w:after="0" w:line="240" w:lineRule="auto"/>
        <w:ind w:left="-284" w:right="-330"/>
        <w:rPr>
          <w:b/>
          <w:color w:val="007491"/>
        </w:rPr>
      </w:pPr>
      <w:r>
        <w:rPr>
          <w:b/>
          <w:color w:val="007491"/>
        </w:rPr>
        <w:t>Vol 11</w:t>
      </w:r>
      <w:r w:rsidR="00753338">
        <w:rPr>
          <w:b/>
          <w:color w:val="007491"/>
        </w:rPr>
        <w:t>7</w:t>
      </w:r>
      <w:r w:rsidR="00780BBC" w:rsidRPr="004F652C">
        <w:rPr>
          <w:b/>
          <w:color w:val="007491"/>
        </w:rPr>
        <w:t xml:space="preserve"> </w:t>
      </w:r>
      <w:r w:rsidR="00A5223C">
        <w:rPr>
          <w:b/>
          <w:color w:val="007491"/>
        </w:rPr>
        <w:t>–</w:t>
      </w:r>
      <w:r w:rsidR="005350C7">
        <w:rPr>
          <w:b/>
          <w:color w:val="007491"/>
        </w:rPr>
        <w:t xml:space="preserve"> </w:t>
      </w:r>
      <w:r w:rsidR="00753338">
        <w:rPr>
          <w:b/>
          <w:color w:val="007491"/>
        </w:rPr>
        <w:t>August</w:t>
      </w:r>
    </w:p>
    <w:p w:rsidR="00DA1793" w:rsidRDefault="00DA1793" w:rsidP="00741FB8">
      <w:pPr>
        <w:spacing w:after="0" w:line="240" w:lineRule="auto"/>
        <w:ind w:left="-284" w:right="-330"/>
        <w:rPr>
          <w:b/>
          <w:color w:val="007491"/>
          <w:sz w:val="14"/>
        </w:rPr>
      </w:pPr>
    </w:p>
    <w:p w:rsidR="003A0655" w:rsidRDefault="003A0655" w:rsidP="00741FB8">
      <w:pPr>
        <w:spacing w:after="0" w:line="240" w:lineRule="auto"/>
        <w:ind w:left="-284" w:right="-330"/>
        <w:rPr>
          <w:b/>
          <w:color w:val="007491"/>
          <w:sz w:val="14"/>
        </w:rPr>
      </w:pPr>
    </w:p>
    <w:p w:rsidR="003A0655" w:rsidRDefault="003A0655" w:rsidP="00741FB8">
      <w:pPr>
        <w:spacing w:after="0" w:line="240" w:lineRule="auto"/>
        <w:ind w:left="-284" w:right="-330"/>
        <w:rPr>
          <w:b/>
          <w:color w:val="007491"/>
          <w:sz w:val="14"/>
        </w:rPr>
      </w:pPr>
    </w:p>
    <w:p w:rsidR="002175E8" w:rsidRPr="00A5223C" w:rsidRDefault="00E01BB9" w:rsidP="00DC60B9">
      <w:pPr>
        <w:spacing w:after="0" w:line="240" w:lineRule="auto"/>
        <w:ind w:left="-284" w:right="-330"/>
        <w:jc w:val="center"/>
        <w:rPr>
          <w:b/>
          <w:color w:val="007491"/>
          <w:sz w:val="42"/>
          <w:szCs w:val="42"/>
        </w:rPr>
      </w:pPr>
      <w:r>
        <w:rPr>
          <w:b/>
          <w:color w:val="007491"/>
          <w:sz w:val="42"/>
          <w:szCs w:val="42"/>
        </w:rPr>
        <w:t xml:space="preserve">Rate cut speculation lifts variable rate demand </w:t>
      </w:r>
    </w:p>
    <w:p w:rsidR="00C105EC" w:rsidRDefault="00C105EC" w:rsidP="00DC60B9">
      <w:pPr>
        <w:tabs>
          <w:tab w:val="left" w:pos="8040"/>
        </w:tabs>
        <w:spacing w:after="0"/>
        <w:ind w:left="-284" w:right="-330"/>
        <w:jc w:val="both"/>
        <w:rPr>
          <w:rFonts w:cs="Calibri"/>
          <w:sz w:val="16"/>
        </w:rPr>
      </w:pPr>
    </w:p>
    <w:p w:rsidR="00355DD0" w:rsidRDefault="00753338" w:rsidP="00D3454B">
      <w:pPr>
        <w:tabs>
          <w:tab w:val="left" w:pos="8040"/>
        </w:tabs>
        <w:spacing w:after="0"/>
        <w:ind w:left="-284" w:right="-330"/>
        <w:jc w:val="both"/>
        <w:rPr>
          <w:rFonts w:cs="Calibri"/>
        </w:rPr>
      </w:pPr>
      <w:r>
        <w:rPr>
          <w:rFonts w:cs="Calibri"/>
        </w:rPr>
        <w:t xml:space="preserve">Ongoing speculation about another rate cut in the near future has encouraged an increasing </w:t>
      </w:r>
      <w:r w:rsidR="00DD0EF9">
        <w:rPr>
          <w:rFonts w:cs="Calibri"/>
        </w:rPr>
        <w:t>number</w:t>
      </w:r>
      <w:r>
        <w:rPr>
          <w:rFonts w:cs="Calibri"/>
        </w:rPr>
        <w:t xml:space="preserve"> of borrowers to choose a variable rate home loan, new research has revealed. </w:t>
      </w:r>
    </w:p>
    <w:p w:rsidR="00355DD0" w:rsidRDefault="00355DD0" w:rsidP="00D3454B">
      <w:pPr>
        <w:tabs>
          <w:tab w:val="left" w:pos="8040"/>
        </w:tabs>
        <w:spacing w:after="0"/>
        <w:ind w:left="-284" w:right="-330"/>
        <w:jc w:val="both"/>
        <w:rPr>
          <w:rFonts w:cs="Calibri"/>
        </w:rPr>
      </w:pPr>
    </w:p>
    <w:p w:rsidR="00AA0BE7" w:rsidRDefault="00A06070" w:rsidP="00DC60B9">
      <w:pPr>
        <w:tabs>
          <w:tab w:val="left" w:pos="8040"/>
        </w:tabs>
        <w:spacing w:after="0"/>
        <w:ind w:left="-284" w:right="-330"/>
        <w:jc w:val="both"/>
        <w:rPr>
          <w:rFonts w:cs="Calibri"/>
        </w:rPr>
      </w:pPr>
      <w:r w:rsidRPr="00577082">
        <w:rPr>
          <w:rFonts w:cs="Calibri"/>
        </w:rPr>
        <w:t>According to</w:t>
      </w:r>
      <w:r w:rsidR="00354E7F" w:rsidRPr="00577082">
        <w:rPr>
          <w:rFonts w:cs="Calibri"/>
        </w:rPr>
        <w:t xml:space="preserve"> </w:t>
      </w:r>
      <w:r w:rsidR="00890700">
        <w:rPr>
          <w:rFonts w:cs="Calibri"/>
        </w:rPr>
        <w:t>Mortgage Choice’s</w:t>
      </w:r>
      <w:r w:rsidR="00354E7F" w:rsidRPr="00577082">
        <w:rPr>
          <w:rFonts w:cs="Calibri"/>
        </w:rPr>
        <w:t xml:space="preserve"> latest</w:t>
      </w:r>
      <w:r w:rsidRPr="00577082">
        <w:rPr>
          <w:rFonts w:cs="Calibri"/>
        </w:rPr>
        <w:t xml:space="preserve"> national home loan approval data, </w:t>
      </w:r>
      <w:r w:rsidR="00753338">
        <w:rPr>
          <w:rFonts w:cs="Calibri"/>
        </w:rPr>
        <w:t>variable</w:t>
      </w:r>
      <w:r w:rsidR="00355DD0">
        <w:rPr>
          <w:rFonts w:cs="Calibri"/>
        </w:rPr>
        <w:t xml:space="preserve"> rat</w:t>
      </w:r>
      <w:r w:rsidR="00753338">
        <w:rPr>
          <w:rFonts w:cs="Calibri"/>
        </w:rPr>
        <w:t>e home loans accounted for 79.76</w:t>
      </w:r>
      <w:r w:rsidR="00355DD0">
        <w:rPr>
          <w:rFonts w:cs="Calibri"/>
        </w:rPr>
        <w:t>% of all loans written throughout the month of Ju</w:t>
      </w:r>
      <w:r w:rsidR="00753338">
        <w:rPr>
          <w:rFonts w:cs="Calibri"/>
        </w:rPr>
        <w:t>ly</w:t>
      </w:r>
      <w:r w:rsidR="00355DD0">
        <w:rPr>
          <w:rFonts w:cs="Calibri"/>
        </w:rPr>
        <w:t xml:space="preserve"> – </w:t>
      </w:r>
      <w:r w:rsidR="00753338">
        <w:rPr>
          <w:rFonts w:cs="Calibri"/>
        </w:rPr>
        <w:t xml:space="preserve">up 0.82% from 78.94% </w:t>
      </w:r>
      <w:r w:rsidR="00355DD0">
        <w:rPr>
          <w:rFonts w:cs="Calibri"/>
        </w:rPr>
        <w:t>the month pr</w:t>
      </w:r>
      <w:r w:rsidR="00842425">
        <w:rPr>
          <w:rFonts w:cs="Calibri"/>
        </w:rPr>
        <w:t>ior.</w:t>
      </w:r>
    </w:p>
    <w:p w:rsidR="00355DD0" w:rsidRDefault="00355DD0" w:rsidP="00DC60B9">
      <w:pPr>
        <w:tabs>
          <w:tab w:val="left" w:pos="8040"/>
        </w:tabs>
        <w:spacing w:after="0"/>
        <w:ind w:left="-284" w:right="-330"/>
        <w:jc w:val="both"/>
        <w:rPr>
          <w:rFonts w:cs="Calibri"/>
        </w:rPr>
      </w:pPr>
    </w:p>
    <w:p w:rsidR="00753338" w:rsidRDefault="00753338" w:rsidP="00DC60B9">
      <w:pPr>
        <w:tabs>
          <w:tab w:val="left" w:pos="8040"/>
        </w:tabs>
        <w:spacing w:after="0"/>
        <w:ind w:left="-284" w:right="-330"/>
        <w:jc w:val="both"/>
        <w:rPr>
          <w:rFonts w:cs="Calibri"/>
        </w:rPr>
      </w:pPr>
      <w:r>
        <w:rPr>
          <w:rFonts w:cs="Calibri"/>
        </w:rPr>
        <w:t xml:space="preserve">“While demand for variable rates continues to rise, fixed rate demand continues to slide, with this type of product accounting for just 20.24% of all home loans written last month,” Mortgage Choice chief executive officer John Flavell said. </w:t>
      </w:r>
    </w:p>
    <w:p w:rsidR="00753338" w:rsidRDefault="00753338" w:rsidP="00DC60B9">
      <w:pPr>
        <w:tabs>
          <w:tab w:val="left" w:pos="8040"/>
        </w:tabs>
        <w:spacing w:after="0"/>
        <w:ind w:left="-284" w:right="-330"/>
        <w:jc w:val="both"/>
        <w:rPr>
          <w:rFonts w:cs="Calibri"/>
        </w:rPr>
      </w:pPr>
    </w:p>
    <w:p w:rsidR="00753338" w:rsidRDefault="00753338" w:rsidP="00DC60B9">
      <w:pPr>
        <w:tabs>
          <w:tab w:val="left" w:pos="8040"/>
        </w:tabs>
        <w:spacing w:after="0"/>
        <w:ind w:left="-284" w:right="-330"/>
        <w:jc w:val="both"/>
        <w:rPr>
          <w:rFonts w:cs="Calibri"/>
        </w:rPr>
      </w:pPr>
      <w:r>
        <w:rPr>
          <w:rFonts w:cs="Calibri"/>
        </w:rPr>
        <w:t>“Of course, I am not surprised to see a reduction in the level of fixed rate demand. Over the past couple of weeks, speculation about another rate cut has intensified.</w:t>
      </w:r>
    </w:p>
    <w:p w:rsidR="00753338" w:rsidRDefault="00753338" w:rsidP="00DC60B9">
      <w:pPr>
        <w:tabs>
          <w:tab w:val="left" w:pos="8040"/>
        </w:tabs>
        <w:spacing w:after="0"/>
        <w:ind w:left="-284" w:right="-330"/>
        <w:jc w:val="both"/>
        <w:rPr>
          <w:rFonts w:cs="Calibri"/>
        </w:rPr>
      </w:pPr>
    </w:p>
    <w:p w:rsidR="00753338" w:rsidRDefault="00753338" w:rsidP="00DC60B9">
      <w:pPr>
        <w:tabs>
          <w:tab w:val="left" w:pos="8040"/>
        </w:tabs>
        <w:spacing w:after="0"/>
        <w:ind w:left="-284" w:right="-330"/>
        <w:jc w:val="both"/>
        <w:rPr>
          <w:rFonts w:cs="Calibri"/>
        </w:rPr>
      </w:pPr>
      <w:r>
        <w:rPr>
          <w:rFonts w:cs="Calibri"/>
        </w:rPr>
        <w:t>“A number of economists now believe, thanks to the latest inflation results, that another rate cut could happen within the next couple of months.</w:t>
      </w:r>
    </w:p>
    <w:p w:rsidR="00753338" w:rsidRDefault="00753338" w:rsidP="00DC60B9">
      <w:pPr>
        <w:tabs>
          <w:tab w:val="left" w:pos="8040"/>
        </w:tabs>
        <w:spacing w:after="0"/>
        <w:ind w:left="-284" w:right="-330"/>
        <w:jc w:val="both"/>
        <w:rPr>
          <w:rFonts w:cs="Calibri"/>
        </w:rPr>
      </w:pPr>
    </w:p>
    <w:p w:rsidR="00753338" w:rsidRDefault="00753338" w:rsidP="00DC60B9">
      <w:pPr>
        <w:tabs>
          <w:tab w:val="left" w:pos="8040"/>
        </w:tabs>
        <w:spacing w:after="0"/>
        <w:ind w:left="-284" w:right="-330"/>
        <w:jc w:val="both"/>
        <w:rPr>
          <w:rFonts w:cs="Calibri"/>
        </w:rPr>
      </w:pPr>
      <w:r>
        <w:rPr>
          <w:rFonts w:cs="Calibri"/>
        </w:rPr>
        <w:t>“Borrowers are acutely aware of this market chatter and, as such, are keen to have a variable rate mortgage that will fall as home loan interest rates do.”</w:t>
      </w:r>
    </w:p>
    <w:p w:rsidR="00753338" w:rsidRDefault="00753338" w:rsidP="00DC60B9">
      <w:pPr>
        <w:tabs>
          <w:tab w:val="left" w:pos="8040"/>
        </w:tabs>
        <w:spacing w:after="0"/>
        <w:ind w:left="-284" w:right="-330"/>
        <w:jc w:val="both"/>
        <w:rPr>
          <w:rFonts w:cs="Calibri"/>
        </w:rPr>
      </w:pPr>
    </w:p>
    <w:p w:rsidR="00753338" w:rsidRDefault="00753338" w:rsidP="00DC60B9">
      <w:pPr>
        <w:tabs>
          <w:tab w:val="left" w:pos="8040"/>
        </w:tabs>
        <w:spacing w:after="0"/>
        <w:ind w:left="-284" w:right="-330"/>
        <w:jc w:val="both"/>
        <w:rPr>
          <w:rFonts w:cs="Calibri"/>
        </w:rPr>
      </w:pPr>
      <w:r>
        <w:rPr>
          <w:rFonts w:cs="Calibri"/>
        </w:rPr>
        <w:t>Mr Flavell said if the current yield curve was any indication, interest rates will likely stay very low for the foreseeable future, benefiting mortgage holders.</w:t>
      </w:r>
    </w:p>
    <w:p w:rsidR="00753338" w:rsidRDefault="00753338" w:rsidP="00DC60B9">
      <w:pPr>
        <w:tabs>
          <w:tab w:val="left" w:pos="8040"/>
        </w:tabs>
        <w:spacing w:after="0"/>
        <w:ind w:left="-284" w:right="-330"/>
        <w:jc w:val="both"/>
        <w:rPr>
          <w:rFonts w:cs="Calibri"/>
        </w:rPr>
      </w:pPr>
    </w:p>
    <w:p w:rsidR="00753338" w:rsidRDefault="00753338" w:rsidP="00DC60B9">
      <w:pPr>
        <w:tabs>
          <w:tab w:val="left" w:pos="8040"/>
        </w:tabs>
        <w:spacing w:after="0"/>
        <w:ind w:left="-284" w:right="-330"/>
        <w:jc w:val="both"/>
        <w:rPr>
          <w:rFonts w:cs="Calibri"/>
        </w:rPr>
      </w:pPr>
      <w:r>
        <w:rPr>
          <w:rFonts w:cs="Calibri"/>
        </w:rPr>
        <w:t xml:space="preserve">“The historically low rate environment is helping to keep heat in the property market, with the latest data from CoreLogic showing property values </w:t>
      </w:r>
      <w:r w:rsidR="00E01BB9">
        <w:rPr>
          <w:rFonts w:cs="Calibri"/>
        </w:rPr>
        <w:t xml:space="preserve">rose by 0.8% across the combined capital cities over the month of July,” he said. </w:t>
      </w:r>
    </w:p>
    <w:p w:rsidR="00E01BB9" w:rsidRDefault="00E01BB9" w:rsidP="00DC60B9">
      <w:pPr>
        <w:tabs>
          <w:tab w:val="left" w:pos="8040"/>
        </w:tabs>
        <w:spacing w:after="0"/>
        <w:ind w:left="-284" w:right="-330"/>
        <w:jc w:val="both"/>
        <w:rPr>
          <w:rFonts w:cs="Calibri"/>
        </w:rPr>
      </w:pPr>
    </w:p>
    <w:p w:rsidR="00E01BB9" w:rsidRDefault="00E01BB9" w:rsidP="00E01BB9">
      <w:pPr>
        <w:tabs>
          <w:tab w:val="left" w:pos="8040"/>
        </w:tabs>
        <w:spacing w:after="0"/>
        <w:ind w:left="-284" w:right="-330"/>
        <w:jc w:val="both"/>
        <w:rPr>
          <w:rFonts w:cs="Calibri"/>
        </w:rPr>
      </w:pPr>
      <w:r>
        <w:rPr>
          <w:rFonts w:cs="Calibri"/>
        </w:rPr>
        <w:t>“Unsurprisingly, Sydney and Melbourne were the standout performers, with the capital cities recording property price growth of 1.3% and 1.1% respectively.”</w:t>
      </w:r>
    </w:p>
    <w:p w:rsidR="00E01BB9" w:rsidRDefault="00E01BB9" w:rsidP="00E01BB9">
      <w:pPr>
        <w:tabs>
          <w:tab w:val="left" w:pos="8040"/>
        </w:tabs>
        <w:spacing w:after="0"/>
        <w:ind w:left="-284" w:right="-330"/>
        <w:jc w:val="both"/>
        <w:rPr>
          <w:rFonts w:cs="Calibri"/>
        </w:rPr>
      </w:pPr>
    </w:p>
    <w:p w:rsidR="00E01BB9" w:rsidRDefault="00E01BB9" w:rsidP="00E01BB9">
      <w:pPr>
        <w:tabs>
          <w:tab w:val="left" w:pos="8040"/>
        </w:tabs>
        <w:spacing w:after="0"/>
        <w:ind w:left="-284" w:right="-330"/>
        <w:jc w:val="both"/>
        <w:rPr>
          <w:rFonts w:cs="Calibri"/>
        </w:rPr>
      </w:pPr>
      <w:r>
        <w:rPr>
          <w:rFonts w:cs="Calibri"/>
        </w:rPr>
        <w:t xml:space="preserve">Looking ahead, Mr Flavell said it is likely property prices will continue to rise across some of the major capital cities as interest rates continue to hover around record lows. </w:t>
      </w:r>
    </w:p>
    <w:p w:rsidR="00E01BB9" w:rsidRDefault="00E01BB9" w:rsidP="00E01BB9">
      <w:pPr>
        <w:tabs>
          <w:tab w:val="left" w:pos="8040"/>
        </w:tabs>
        <w:spacing w:after="0"/>
        <w:ind w:left="-284" w:right="-330"/>
        <w:jc w:val="both"/>
        <w:rPr>
          <w:rFonts w:cs="Calibri"/>
        </w:rPr>
      </w:pPr>
    </w:p>
    <w:p w:rsidR="00E01BB9" w:rsidRDefault="00E01BB9" w:rsidP="00E01BB9">
      <w:pPr>
        <w:tabs>
          <w:tab w:val="left" w:pos="8040"/>
        </w:tabs>
        <w:spacing w:after="0"/>
        <w:ind w:left="-284" w:right="-330"/>
        <w:jc w:val="both"/>
        <w:rPr>
          <w:rFonts w:cs="Calibri"/>
        </w:rPr>
      </w:pPr>
      <w:r>
        <w:rPr>
          <w:rFonts w:cs="Calibri"/>
        </w:rPr>
        <w:t xml:space="preserve">“Further, I would expect </w:t>
      </w:r>
      <w:r w:rsidR="0019709E">
        <w:rPr>
          <w:rFonts w:cs="Calibri"/>
        </w:rPr>
        <w:t xml:space="preserve">to see </w:t>
      </w:r>
      <w:r>
        <w:rPr>
          <w:rFonts w:cs="Calibri"/>
        </w:rPr>
        <w:t xml:space="preserve">demand for variable rates </w:t>
      </w:r>
      <w:r w:rsidR="0019709E">
        <w:rPr>
          <w:rFonts w:cs="Calibri"/>
        </w:rPr>
        <w:t>continue</w:t>
      </w:r>
      <w:r>
        <w:rPr>
          <w:rFonts w:cs="Calibri"/>
        </w:rPr>
        <w:t xml:space="preserve"> to rise as rates remain low and potentially fall further.”</w:t>
      </w:r>
    </w:p>
    <w:p w:rsidR="00753338" w:rsidRDefault="00753338" w:rsidP="00DC60B9">
      <w:pPr>
        <w:tabs>
          <w:tab w:val="left" w:pos="8040"/>
        </w:tabs>
        <w:spacing w:after="0"/>
        <w:ind w:left="-284" w:right="-330"/>
        <w:jc w:val="both"/>
        <w:rPr>
          <w:rFonts w:cs="Calibri"/>
        </w:rPr>
      </w:pPr>
    </w:p>
    <w:p w:rsidR="00FE591C" w:rsidRDefault="00FE591C" w:rsidP="00FE591C">
      <w:pPr>
        <w:tabs>
          <w:tab w:val="left" w:pos="8040"/>
        </w:tabs>
        <w:spacing w:after="0"/>
        <w:ind w:left="-284" w:right="-330"/>
        <w:jc w:val="both"/>
        <w:rPr>
          <w:rFonts w:cs="Calibri"/>
        </w:rPr>
      </w:pPr>
      <w:r>
        <w:rPr>
          <w:rFonts w:cs="Calibri"/>
        </w:rPr>
        <w:t>Across the country, variable rate demand was highest in Victoria, with this type</w:t>
      </w:r>
      <w:r w:rsidR="00E01BB9">
        <w:rPr>
          <w:rFonts w:cs="Calibri"/>
        </w:rPr>
        <w:t xml:space="preserve"> of product accounting for 87.96</w:t>
      </w:r>
      <w:r>
        <w:rPr>
          <w:rFonts w:cs="Calibri"/>
        </w:rPr>
        <w:t>% of all home loans written throughout the month.</w:t>
      </w:r>
    </w:p>
    <w:p w:rsidR="00FE591C" w:rsidRDefault="00FE591C" w:rsidP="00FE591C">
      <w:pPr>
        <w:tabs>
          <w:tab w:val="left" w:pos="8040"/>
        </w:tabs>
        <w:spacing w:after="0"/>
        <w:ind w:left="-284" w:right="-330"/>
        <w:jc w:val="both"/>
        <w:rPr>
          <w:rFonts w:cs="Calibri"/>
        </w:rPr>
      </w:pPr>
    </w:p>
    <w:p w:rsidR="00FE591C" w:rsidRDefault="00FE591C" w:rsidP="00FE591C">
      <w:pPr>
        <w:tabs>
          <w:tab w:val="left" w:pos="8040"/>
        </w:tabs>
        <w:spacing w:after="0"/>
        <w:ind w:left="-284" w:right="-330"/>
        <w:jc w:val="both"/>
        <w:rPr>
          <w:rFonts w:cs="Calibri"/>
        </w:rPr>
      </w:pPr>
      <w:r>
        <w:rPr>
          <w:rFonts w:cs="Calibri"/>
        </w:rPr>
        <w:lastRenderedPageBreak/>
        <w:t>South Australia was not far behind, with va</w:t>
      </w:r>
      <w:r w:rsidR="00E01BB9">
        <w:rPr>
          <w:rFonts w:cs="Calibri"/>
        </w:rPr>
        <w:t>riable rates accounting for 84.86</w:t>
      </w:r>
      <w:r>
        <w:rPr>
          <w:rFonts w:cs="Calibri"/>
        </w:rPr>
        <w:t>% of all loans written.</w:t>
      </w:r>
    </w:p>
    <w:p w:rsidR="00FE591C" w:rsidRDefault="00FE591C" w:rsidP="00FE591C">
      <w:pPr>
        <w:tabs>
          <w:tab w:val="left" w:pos="8040"/>
        </w:tabs>
        <w:spacing w:after="0"/>
        <w:ind w:left="-284" w:right="-330"/>
        <w:jc w:val="both"/>
        <w:rPr>
          <w:rFonts w:cs="Calibri"/>
        </w:rPr>
      </w:pPr>
    </w:p>
    <w:p w:rsidR="00FE591C" w:rsidRPr="00577082" w:rsidRDefault="00FE591C" w:rsidP="00FE591C">
      <w:pPr>
        <w:tabs>
          <w:tab w:val="left" w:pos="8040"/>
        </w:tabs>
        <w:spacing w:after="0"/>
        <w:ind w:left="-284" w:right="-330"/>
        <w:jc w:val="both"/>
        <w:rPr>
          <w:rFonts w:cs="Calibri"/>
        </w:rPr>
      </w:pPr>
      <w:r>
        <w:rPr>
          <w:rFonts w:cs="Calibri"/>
        </w:rPr>
        <w:t>Demand for variable rate home loans was lowest in Western Australia, with this</w:t>
      </w:r>
      <w:r w:rsidR="00E01BB9">
        <w:rPr>
          <w:rFonts w:cs="Calibri"/>
        </w:rPr>
        <w:t xml:space="preserve"> type of product making up 71.07</w:t>
      </w:r>
      <w:r>
        <w:rPr>
          <w:rFonts w:cs="Calibri"/>
        </w:rPr>
        <w:t xml:space="preserve">% of all loans written. </w:t>
      </w:r>
    </w:p>
    <w:p w:rsidR="00676B5F" w:rsidRPr="00B76849" w:rsidRDefault="00676B5F" w:rsidP="00DC60B9">
      <w:pPr>
        <w:tabs>
          <w:tab w:val="left" w:pos="8040"/>
        </w:tabs>
        <w:spacing w:after="0"/>
        <w:ind w:left="-284" w:right="-330"/>
        <w:jc w:val="both"/>
        <w:rPr>
          <w:rFonts w:cs="Calibri"/>
          <w:color w:val="FF0000"/>
        </w:rPr>
      </w:pPr>
    </w:p>
    <w:p w:rsidR="00680CBB" w:rsidRDefault="00680CBB" w:rsidP="00E95658">
      <w:pPr>
        <w:tabs>
          <w:tab w:val="left" w:pos="8040"/>
        </w:tabs>
        <w:spacing w:after="0"/>
        <w:ind w:left="-284" w:right="-330"/>
        <w:jc w:val="both"/>
        <w:rPr>
          <w:rFonts w:cs="Calibri"/>
        </w:rPr>
      </w:pPr>
      <w:r>
        <w:rPr>
          <w:rFonts w:cs="Calibri"/>
        </w:rPr>
        <w:t>Of the different variable rates on offer, ongoing discount products continued to prove the most popular with borrowers, with th</w:t>
      </w:r>
      <w:r w:rsidR="00FE591C">
        <w:rPr>
          <w:rFonts w:cs="Calibri"/>
        </w:rPr>
        <w:t>i</w:t>
      </w:r>
      <w:r w:rsidR="00E01BB9">
        <w:rPr>
          <w:rFonts w:cs="Calibri"/>
        </w:rPr>
        <w:t>s type of product making up 46.72</w:t>
      </w:r>
      <w:r>
        <w:rPr>
          <w:rFonts w:cs="Calibri"/>
        </w:rPr>
        <w:t xml:space="preserve">% of all loans written throughout the month of </w:t>
      </w:r>
      <w:r w:rsidR="00E01BB9">
        <w:rPr>
          <w:rFonts w:cs="Calibri"/>
        </w:rPr>
        <w:t>July</w:t>
      </w:r>
      <w:r>
        <w:rPr>
          <w:rFonts w:cs="Calibri"/>
        </w:rPr>
        <w:t xml:space="preserve">. </w:t>
      </w:r>
    </w:p>
    <w:p w:rsidR="00680CBB" w:rsidRDefault="00680CBB" w:rsidP="00E95658">
      <w:pPr>
        <w:tabs>
          <w:tab w:val="left" w:pos="8040"/>
        </w:tabs>
        <w:spacing w:after="0"/>
        <w:ind w:left="-284" w:right="-330"/>
        <w:jc w:val="both"/>
        <w:rPr>
          <w:rFonts w:cs="Calibri"/>
        </w:rPr>
      </w:pPr>
    </w:p>
    <w:p w:rsidR="00F119D7" w:rsidRDefault="000A79B9" w:rsidP="00DC60B9">
      <w:pPr>
        <w:tabs>
          <w:tab w:val="left" w:pos="8040"/>
        </w:tabs>
        <w:spacing w:after="0"/>
        <w:ind w:left="-284" w:right="-330"/>
        <w:jc w:val="both"/>
        <w:rPr>
          <w:rFonts w:cs="Calibri"/>
        </w:rPr>
      </w:pPr>
      <w:r>
        <w:rPr>
          <w:rFonts w:cs="Calibri"/>
        </w:rPr>
        <w:t>F</w:t>
      </w:r>
      <w:r w:rsidR="00DC60B9">
        <w:rPr>
          <w:rFonts w:cs="Calibri"/>
        </w:rPr>
        <w:t xml:space="preserve">or archived copies of the Homeloan Choices bulletin, please refer to </w:t>
      </w:r>
      <w:hyperlink r:id="rId7" w:history="1">
        <w:r w:rsidR="00DC60B9" w:rsidRPr="00D617F3">
          <w:rPr>
            <w:rStyle w:val="Hyperlink"/>
            <w:rFonts w:cs="Calibri"/>
          </w:rPr>
          <w:t>http://www.mortgagechoice.com.au/about-us/homeloan-choices-newsletter</w:t>
        </w:r>
      </w:hyperlink>
      <w:r w:rsidR="00DC60B9">
        <w:rPr>
          <w:rFonts w:cs="Calibri"/>
        </w:rPr>
        <w:t xml:space="preserve">. </w:t>
      </w:r>
    </w:p>
    <w:p w:rsidR="005315CC" w:rsidRDefault="005315CC" w:rsidP="00946ADF">
      <w:pPr>
        <w:tabs>
          <w:tab w:val="left" w:pos="8040"/>
        </w:tabs>
        <w:spacing w:after="0"/>
        <w:ind w:left="284" w:right="-330"/>
        <w:jc w:val="both"/>
        <w:rPr>
          <w:rFonts w:cs="Calibri"/>
        </w:rPr>
      </w:pPr>
    </w:p>
    <w:p w:rsidR="00946ADF" w:rsidRDefault="0019709E" w:rsidP="00946ADF">
      <w:pPr>
        <w:tabs>
          <w:tab w:val="left" w:pos="8040"/>
        </w:tabs>
        <w:spacing w:after="0"/>
        <w:ind w:left="284" w:right="-330"/>
        <w:jc w:val="both"/>
        <w:rPr>
          <w:rFonts w:cs="Calibri"/>
        </w:rPr>
      </w:pPr>
      <w:r>
        <w:rPr>
          <w:rFonts w:cs="Calibri"/>
          <w:noProof/>
          <w:lang w:eastAsia="en-AU"/>
        </w:rPr>
        <w:drawing>
          <wp:inline distT="0" distB="0" distL="0" distR="0">
            <wp:extent cx="5731510" cy="207327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08-01_11-18-59.png"/>
                    <pic:cNvPicPr/>
                  </pic:nvPicPr>
                  <pic:blipFill>
                    <a:blip r:embed="rId8">
                      <a:extLst>
                        <a:ext uri="{28A0092B-C50C-407E-A947-70E740481C1C}">
                          <a14:useLocalDpi xmlns:a14="http://schemas.microsoft.com/office/drawing/2010/main" val="0"/>
                        </a:ext>
                      </a:extLst>
                    </a:blip>
                    <a:stretch>
                      <a:fillRect/>
                    </a:stretch>
                  </pic:blipFill>
                  <pic:spPr>
                    <a:xfrm>
                      <a:off x="0" y="0"/>
                      <a:ext cx="5731510" cy="2073275"/>
                    </a:xfrm>
                    <a:prstGeom prst="rect">
                      <a:avLst/>
                    </a:prstGeom>
                  </pic:spPr>
                </pic:pic>
              </a:graphicData>
            </a:graphic>
          </wp:inline>
        </w:drawing>
      </w:r>
    </w:p>
    <w:p w:rsidR="00946ADF" w:rsidRDefault="00946ADF" w:rsidP="00A34766">
      <w:pPr>
        <w:tabs>
          <w:tab w:val="left" w:pos="8040"/>
        </w:tabs>
        <w:spacing w:after="0"/>
        <w:ind w:right="-330"/>
        <w:jc w:val="both"/>
        <w:rPr>
          <w:rFonts w:cs="Calibri"/>
        </w:rPr>
      </w:pPr>
    </w:p>
    <w:p w:rsidR="0019709E" w:rsidRPr="00A34766" w:rsidRDefault="0019709E" w:rsidP="00A34766">
      <w:pPr>
        <w:tabs>
          <w:tab w:val="left" w:pos="8040"/>
        </w:tabs>
        <w:spacing w:after="0"/>
        <w:ind w:right="-330"/>
        <w:jc w:val="both"/>
        <w:rPr>
          <w:rFonts w:cs="Calibri"/>
        </w:rPr>
      </w:pPr>
    </w:p>
    <w:tbl>
      <w:tblPr>
        <w:tblpPr w:leftFromText="180" w:rightFromText="180" w:vertAnchor="text" w:horzAnchor="margin" w:tblpXSpec="center" w:tblpY="-54"/>
        <w:tblOverlap w:val="never"/>
        <w:tblW w:w="8055" w:type="dxa"/>
        <w:tblLook w:val="04A0" w:firstRow="1" w:lastRow="0" w:firstColumn="1" w:lastColumn="0" w:noHBand="0" w:noVBand="1"/>
      </w:tblPr>
      <w:tblGrid>
        <w:gridCol w:w="2010"/>
        <w:gridCol w:w="289"/>
        <w:gridCol w:w="829"/>
        <w:gridCol w:w="289"/>
        <w:gridCol w:w="915"/>
        <w:gridCol w:w="289"/>
        <w:gridCol w:w="904"/>
        <w:gridCol w:w="289"/>
        <w:gridCol w:w="904"/>
        <w:gridCol w:w="289"/>
        <w:gridCol w:w="1048"/>
      </w:tblGrid>
      <w:tr w:rsidR="00A34766" w:rsidRPr="0048632F" w:rsidTr="000A79B9">
        <w:trPr>
          <w:trHeight w:val="440"/>
        </w:trPr>
        <w:tc>
          <w:tcPr>
            <w:tcW w:w="2010" w:type="dxa"/>
            <w:shd w:val="clear" w:color="auto" w:fill="auto"/>
            <w:noWrap/>
            <w:vAlign w:val="center"/>
            <w:hideMark/>
          </w:tcPr>
          <w:p w:rsidR="00A34766" w:rsidRDefault="00A34766" w:rsidP="00A34766">
            <w:pPr>
              <w:spacing w:after="0" w:line="240" w:lineRule="auto"/>
              <w:ind w:left="-142" w:right="-88"/>
              <w:rPr>
                <w:rFonts w:ascii="Arial" w:eastAsia="Times New Roman" w:hAnsi="Arial" w:cs="Arial"/>
                <w:b/>
                <w:bCs/>
                <w:sz w:val="20"/>
                <w:szCs w:val="16"/>
                <w:lang w:val="en-US"/>
              </w:rPr>
            </w:pPr>
          </w:p>
          <w:p w:rsidR="00A34766" w:rsidRPr="0048632F" w:rsidRDefault="00A34766" w:rsidP="00A34766">
            <w:pPr>
              <w:spacing w:after="0" w:line="240" w:lineRule="auto"/>
              <w:ind w:right="-88"/>
              <w:rPr>
                <w:rFonts w:ascii="Arial" w:eastAsia="Times New Roman" w:hAnsi="Arial" w:cs="Arial"/>
                <w:b/>
                <w:bCs/>
                <w:sz w:val="20"/>
                <w:szCs w:val="16"/>
                <w:lang w:val="en-US"/>
              </w:rPr>
            </w:pPr>
          </w:p>
        </w:tc>
        <w:tc>
          <w:tcPr>
            <w:tcW w:w="1118" w:type="dxa"/>
            <w:gridSpan w:val="2"/>
            <w:shd w:val="clear" w:color="000000" w:fill="006784"/>
            <w:noWrap/>
            <w:vAlign w:val="center"/>
            <w:hideMark/>
          </w:tcPr>
          <w:p w:rsidR="00A34766" w:rsidRPr="0048632F" w:rsidRDefault="00A34766" w:rsidP="00A34766">
            <w:pPr>
              <w:spacing w:after="0" w:line="240" w:lineRule="auto"/>
              <w:ind w:left="-142" w:right="-88"/>
              <w:jc w:val="right"/>
              <w:rPr>
                <w:rFonts w:ascii="Arial" w:eastAsia="Times New Roman" w:hAnsi="Arial" w:cs="Arial"/>
                <w:b/>
                <w:bCs/>
                <w:color w:val="FFFFFF"/>
                <w:sz w:val="20"/>
                <w:szCs w:val="16"/>
                <w:lang w:val="en-US"/>
              </w:rPr>
            </w:pPr>
            <w:r w:rsidRPr="0048632F">
              <w:rPr>
                <w:rFonts w:ascii="Arial" w:eastAsia="Times New Roman" w:hAnsi="Arial" w:cs="Arial"/>
                <w:b/>
                <w:bCs/>
                <w:color w:val="FFFFFF"/>
                <w:sz w:val="20"/>
                <w:szCs w:val="16"/>
                <w:lang w:val="en-US"/>
              </w:rPr>
              <w:t>NSW/ACT</w:t>
            </w:r>
          </w:p>
        </w:tc>
        <w:tc>
          <w:tcPr>
            <w:tcW w:w="1204" w:type="dxa"/>
            <w:gridSpan w:val="2"/>
            <w:shd w:val="clear" w:color="000000" w:fill="006784"/>
            <w:noWrap/>
            <w:vAlign w:val="center"/>
            <w:hideMark/>
          </w:tcPr>
          <w:p w:rsidR="00A34766" w:rsidRPr="0048632F" w:rsidRDefault="00A34766" w:rsidP="00A34766">
            <w:pPr>
              <w:spacing w:after="0" w:line="240" w:lineRule="auto"/>
              <w:ind w:left="-142" w:right="-88"/>
              <w:jc w:val="right"/>
              <w:rPr>
                <w:rFonts w:ascii="Arial" w:eastAsia="Times New Roman" w:hAnsi="Arial" w:cs="Arial"/>
                <w:b/>
                <w:bCs/>
                <w:color w:val="FFFFFF"/>
                <w:sz w:val="20"/>
                <w:szCs w:val="16"/>
                <w:lang w:val="en-US"/>
              </w:rPr>
            </w:pPr>
            <w:r w:rsidRPr="0048632F">
              <w:rPr>
                <w:rFonts w:ascii="Arial" w:eastAsia="Times New Roman" w:hAnsi="Arial" w:cs="Arial"/>
                <w:b/>
                <w:bCs/>
                <w:color w:val="FFFFFF"/>
                <w:sz w:val="20"/>
                <w:szCs w:val="16"/>
                <w:lang w:val="en-US"/>
              </w:rPr>
              <w:t>VIC/TAS</w:t>
            </w:r>
          </w:p>
        </w:tc>
        <w:tc>
          <w:tcPr>
            <w:tcW w:w="1193" w:type="dxa"/>
            <w:gridSpan w:val="2"/>
            <w:shd w:val="clear" w:color="000000" w:fill="006784"/>
            <w:noWrap/>
            <w:vAlign w:val="center"/>
            <w:hideMark/>
          </w:tcPr>
          <w:p w:rsidR="00A34766" w:rsidRPr="0048632F" w:rsidRDefault="00A34766" w:rsidP="00A34766">
            <w:pPr>
              <w:spacing w:after="0" w:line="240" w:lineRule="auto"/>
              <w:ind w:left="-142" w:right="-88"/>
              <w:jc w:val="right"/>
              <w:rPr>
                <w:rFonts w:ascii="Arial" w:eastAsia="Times New Roman" w:hAnsi="Arial" w:cs="Arial"/>
                <w:b/>
                <w:bCs/>
                <w:color w:val="FFFFFF"/>
                <w:sz w:val="20"/>
                <w:szCs w:val="16"/>
                <w:lang w:val="en-US"/>
              </w:rPr>
            </w:pPr>
            <w:r w:rsidRPr="0048632F">
              <w:rPr>
                <w:rFonts w:ascii="Arial" w:eastAsia="Times New Roman" w:hAnsi="Arial" w:cs="Arial"/>
                <w:b/>
                <w:bCs/>
                <w:color w:val="FFFFFF"/>
                <w:sz w:val="20"/>
                <w:szCs w:val="16"/>
                <w:lang w:val="en-US"/>
              </w:rPr>
              <w:t>QLD</w:t>
            </w:r>
          </w:p>
        </w:tc>
        <w:tc>
          <w:tcPr>
            <w:tcW w:w="1193" w:type="dxa"/>
            <w:gridSpan w:val="2"/>
            <w:shd w:val="clear" w:color="000000" w:fill="006784"/>
            <w:noWrap/>
            <w:vAlign w:val="center"/>
            <w:hideMark/>
          </w:tcPr>
          <w:p w:rsidR="00A34766" w:rsidRPr="0048632F" w:rsidRDefault="00A34766" w:rsidP="00A34766">
            <w:pPr>
              <w:spacing w:after="0" w:line="240" w:lineRule="auto"/>
              <w:ind w:left="-142" w:right="-88"/>
              <w:jc w:val="right"/>
              <w:rPr>
                <w:rFonts w:ascii="Arial" w:eastAsia="Times New Roman" w:hAnsi="Arial" w:cs="Arial"/>
                <w:b/>
                <w:bCs/>
                <w:color w:val="FFFFFF"/>
                <w:sz w:val="20"/>
                <w:szCs w:val="16"/>
                <w:lang w:val="en-US"/>
              </w:rPr>
            </w:pPr>
            <w:r w:rsidRPr="0048632F">
              <w:rPr>
                <w:rFonts w:ascii="Arial" w:eastAsia="Times New Roman" w:hAnsi="Arial" w:cs="Arial"/>
                <w:b/>
                <w:bCs/>
                <w:color w:val="FFFFFF"/>
                <w:sz w:val="20"/>
                <w:szCs w:val="16"/>
                <w:lang w:val="en-US"/>
              </w:rPr>
              <w:t>SA/NT</w:t>
            </w:r>
          </w:p>
        </w:tc>
        <w:tc>
          <w:tcPr>
            <w:tcW w:w="1337" w:type="dxa"/>
            <w:gridSpan w:val="2"/>
            <w:shd w:val="clear" w:color="000000" w:fill="006784"/>
            <w:noWrap/>
            <w:vAlign w:val="center"/>
            <w:hideMark/>
          </w:tcPr>
          <w:p w:rsidR="00A34766" w:rsidRPr="0048632F" w:rsidRDefault="00A34766" w:rsidP="00A34766">
            <w:pPr>
              <w:spacing w:after="0" w:line="240" w:lineRule="auto"/>
              <w:ind w:left="-142" w:right="-88"/>
              <w:jc w:val="center"/>
              <w:rPr>
                <w:rFonts w:ascii="Arial" w:eastAsia="Times New Roman" w:hAnsi="Arial" w:cs="Arial"/>
                <w:b/>
                <w:bCs/>
                <w:color w:val="FFFFFF"/>
                <w:sz w:val="20"/>
                <w:szCs w:val="16"/>
                <w:lang w:val="en-US"/>
              </w:rPr>
            </w:pPr>
            <w:r w:rsidRPr="0048632F">
              <w:rPr>
                <w:rFonts w:ascii="Arial" w:eastAsia="Times New Roman" w:hAnsi="Arial" w:cs="Arial"/>
                <w:b/>
                <w:bCs/>
                <w:color w:val="FFFFFF"/>
                <w:sz w:val="20"/>
                <w:szCs w:val="16"/>
                <w:lang w:val="en-US"/>
              </w:rPr>
              <w:t>WA</w:t>
            </w:r>
          </w:p>
        </w:tc>
      </w:tr>
      <w:tr w:rsidR="00A34766" w:rsidRPr="00676CB8" w:rsidTr="000A79B9">
        <w:trPr>
          <w:trHeight w:val="440"/>
        </w:trPr>
        <w:tc>
          <w:tcPr>
            <w:tcW w:w="2299" w:type="dxa"/>
            <w:gridSpan w:val="2"/>
            <w:shd w:val="clear" w:color="auto" w:fill="auto"/>
            <w:noWrap/>
            <w:vAlign w:val="bottom"/>
            <w:hideMark/>
          </w:tcPr>
          <w:p w:rsidR="00A34766" w:rsidRPr="0048632F" w:rsidRDefault="00A34766" w:rsidP="00A34766">
            <w:pPr>
              <w:spacing w:after="0" w:line="240" w:lineRule="auto"/>
              <w:ind w:left="-142" w:right="-88"/>
              <w:rPr>
                <w:rFonts w:ascii="Arial" w:eastAsia="Times New Roman" w:hAnsi="Arial" w:cs="Arial"/>
                <w:b/>
                <w:bCs/>
                <w:sz w:val="20"/>
                <w:szCs w:val="16"/>
                <w:lang w:val="en-US"/>
              </w:rPr>
            </w:pPr>
            <w:r>
              <w:rPr>
                <w:rFonts w:ascii="Arial" w:eastAsia="Times New Roman" w:hAnsi="Arial" w:cs="Arial"/>
                <w:b/>
                <w:bCs/>
                <w:sz w:val="20"/>
                <w:szCs w:val="16"/>
                <w:lang w:val="en-US"/>
              </w:rPr>
              <w:t xml:space="preserve"> </w:t>
            </w:r>
            <w:r w:rsidRPr="0048632F">
              <w:rPr>
                <w:rFonts w:ascii="Arial" w:eastAsia="Times New Roman" w:hAnsi="Arial" w:cs="Arial"/>
                <w:b/>
                <w:bCs/>
                <w:sz w:val="20"/>
                <w:szCs w:val="16"/>
                <w:lang w:val="en-US"/>
              </w:rPr>
              <w:t>Variable</w:t>
            </w:r>
          </w:p>
        </w:tc>
        <w:tc>
          <w:tcPr>
            <w:tcW w:w="1118" w:type="dxa"/>
            <w:gridSpan w:val="2"/>
            <w:shd w:val="clear" w:color="auto" w:fill="auto"/>
            <w:noWrap/>
            <w:vAlign w:val="bottom"/>
            <w:hideMark/>
          </w:tcPr>
          <w:p w:rsidR="00A34766" w:rsidRPr="00676CB8" w:rsidRDefault="00FE591C" w:rsidP="0019709E">
            <w:pPr>
              <w:spacing w:after="0" w:line="240" w:lineRule="auto"/>
              <w:ind w:left="-142" w:right="-88"/>
              <w:jc w:val="center"/>
              <w:rPr>
                <w:rFonts w:ascii="Arial" w:eastAsia="Times New Roman" w:hAnsi="Arial" w:cs="Arial"/>
                <w:b/>
                <w:bCs/>
                <w:sz w:val="20"/>
                <w:szCs w:val="16"/>
                <w:lang w:val="en-US"/>
              </w:rPr>
            </w:pPr>
            <w:r>
              <w:rPr>
                <w:rFonts w:ascii="Arial" w:eastAsia="Times New Roman" w:hAnsi="Arial" w:cs="Arial"/>
                <w:b/>
                <w:bCs/>
                <w:sz w:val="20"/>
                <w:szCs w:val="16"/>
                <w:lang w:val="en-US"/>
              </w:rPr>
              <w:t>7</w:t>
            </w:r>
            <w:r w:rsidR="0019709E">
              <w:rPr>
                <w:rFonts w:ascii="Arial" w:eastAsia="Times New Roman" w:hAnsi="Arial" w:cs="Arial"/>
                <w:b/>
                <w:bCs/>
                <w:sz w:val="20"/>
                <w:szCs w:val="16"/>
                <w:lang w:val="en-US"/>
              </w:rPr>
              <w:t>8.53</w:t>
            </w:r>
            <w:r w:rsidR="00A34766">
              <w:rPr>
                <w:rFonts w:ascii="Arial" w:eastAsia="Times New Roman" w:hAnsi="Arial" w:cs="Arial"/>
                <w:b/>
                <w:bCs/>
                <w:sz w:val="20"/>
                <w:szCs w:val="16"/>
                <w:lang w:val="en-US"/>
              </w:rPr>
              <w:t>%</w:t>
            </w:r>
          </w:p>
        </w:tc>
        <w:tc>
          <w:tcPr>
            <w:tcW w:w="1204" w:type="dxa"/>
            <w:gridSpan w:val="2"/>
            <w:shd w:val="clear" w:color="auto" w:fill="auto"/>
            <w:noWrap/>
            <w:vAlign w:val="bottom"/>
            <w:hideMark/>
          </w:tcPr>
          <w:p w:rsidR="00A34766" w:rsidRPr="00676CB8" w:rsidRDefault="00BF2560" w:rsidP="00180EB6">
            <w:pPr>
              <w:spacing w:after="0" w:line="240" w:lineRule="auto"/>
              <w:ind w:left="-142" w:right="-88"/>
              <w:jc w:val="center"/>
              <w:rPr>
                <w:rFonts w:ascii="Arial" w:eastAsia="Times New Roman" w:hAnsi="Arial" w:cs="Arial"/>
                <w:b/>
                <w:bCs/>
                <w:sz w:val="20"/>
                <w:szCs w:val="16"/>
                <w:lang w:val="en-US"/>
              </w:rPr>
            </w:pPr>
            <w:r>
              <w:rPr>
                <w:rFonts w:ascii="Arial" w:eastAsia="Times New Roman" w:hAnsi="Arial" w:cs="Arial"/>
                <w:b/>
                <w:bCs/>
                <w:sz w:val="20"/>
                <w:szCs w:val="16"/>
                <w:lang w:val="en-US"/>
              </w:rPr>
              <w:t>8</w:t>
            </w:r>
            <w:r w:rsidR="0019709E">
              <w:rPr>
                <w:rFonts w:ascii="Arial" w:eastAsia="Times New Roman" w:hAnsi="Arial" w:cs="Arial"/>
                <w:b/>
                <w:bCs/>
                <w:sz w:val="20"/>
                <w:szCs w:val="16"/>
                <w:lang w:val="en-US"/>
              </w:rPr>
              <w:t>7.96</w:t>
            </w:r>
            <w:r w:rsidR="00A34766">
              <w:rPr>
                <w:rFonts w:ascii="Arial" w:eastAsia="Times New Roman" w:hAnsi="Arial" w:cs="Arial"/>
                <w:b/>
                <w:bCs/>
                <w:sz w:val="20"/>
                <w:szCs w:val="16"/>
                <w:lang w:val="en-US"/>
              </w:rPr>
              <w:t>%</w:t>
            </w:r>
          </w:p>
        </w:tc>
        <w:tc>
          <w:tcPr>
            <w:tcW w:w="1193" w:type="dxa"/>
            <w:gridSpan w:val="2"/>
            <w:shd w:val="clear" w:color="auto" w:fill="auto"/>
            <w:noWrap/>
            <w:vAlign w:val="bottom"/>
            <w:hideMark/>
          </w:tcPr>
          <w:p w:rsidR="00A34766" w:rsidRPr="00676CB8" w:rsidRDefault="0019709E" w:rsidP="00B80015">
            <w:pPr>
              <w:spacing w:after="0" w:line="240" w:lineRule="auto"/>
              <w:ind w:left="-142" w:right="-88"/>
              <w:jc w:val="center"/>
              <w:rPr>
                <w:rFonts w:ascii="Arial" w:eastAsia="Times New Roman" w:hAnsi="Arial" w:cs="Arial"/>
                <w:b/>
                <w:bCs/>
                <w:sz w:val="20"/>
                <w:szCs w:val="16"/>
                <w:lang w:val="en-US"/>
              </w:rPr>
            </w:pPr>
            <w:r>
              <w:rPr>
                <w:rFonts w:ascii="Arial" w:eastAsia="Times New Roman" w:hAnsi="Arial" w:cs="Arial"/>
                <w:b/>
                <w:bCs/>
                <w:sz w:val="20"/>
                <w:szCs w:val="16"/>
                <w:lang w:val="en-US"/>
              </w:rPr>
              <w:t>76.09</w:t>
            </w:r>
            <w:r w:rsidR="00A34766">
              <w:rPr>
                <w:rFonts w:ascii="Arial" w:eastAsia="Times New Roman" w:hAnsi="Arial" w:cs="Arial"/>
                <w:b/>
                <w:bCs/>
                <w:sz w:val="20"/>
                <w:szCs w:val="16"/>
                <w:lang w:val="en-US"/>
              </w:rPr>
              <w:t>%</w:t>
            </w:r>
          </w:p>
        </w:tc>
        <w:tc>
          <w:tcPr>
            <w:tcW w:w="1193" w:type="dxa"/>
            <w:gridSpan w:val="2"/>
            <w:shd w:val="clear" w:color="auto" w:fill="auto"/>
            <w:noWrap/>
            <w:vAlign w:val="bottom"/>
            <w:hideMark/>
          </w:tcPr>
          <w:p w:rsidR="00A34766" w:rsidRPr="00676CB8" w:rsidRDefault="0019709E" w:rsidP="00A34766">
            <w:pPr>
              <w:spacing w:after="0" w:line="240" w:lineRule="auto"/>
              <w:ind w:left="-142" w:right="-88"/>
              <w:jc w:val="center"/>
              <w:rPr>
                <w:rFonts w:ascii="Arial" w:eastAsia="Times New Roman" w:hAnsi="Arial" w:cs="Arial"/>
                <w:b/>
                <w:bCs/>
                <w:sz w:val="20"/>
                <w:szCs w:val="16"/>
                <w:lang w:val="en-US"/>
              </w:rPr>
            </w:pPr>
            <w:r>
              <w:rPr>
                <w:rFonts w:ascii="Arial" w:eastAsia="Times New Roman" w:hAnsi="Arial" w:cs="Arial"/>
                <w:b/>
                <w:bCs/>
                <w:sz w:val="20"/>
                <w:szCs w:val="16"/>
                <w:lang w:val="en-US"/>
              </w:rPr>
              <w:t>84.86</w:t>
            </w:r>
            <w:r w:rsidR="00A34766">
              <w:rPr>
                <w:rFonts w:ascii="Arial" w:eastAsia="Times New Roman" w:hAnsi="Arial" w:cs="Arial"/>
                <w:b/>
                <w:bCs/>
                <w:sz w:val="20"/>
                <w:szCs w:val="16"/>
                <w:lang w:val="en-US"/>
              </w:rPr>
              <w:t>%</w:t>
            </w:r>
          </w:p>
        </w:tc>
        <w:tc>
          <w:tcPr>
            <w:tcW w:w="1048" w:type="dxa"/>
            <w:shd w:val="clear" w:color="auto" w:fill="auto"/>
            <w:noWrap/>
            <w:vAlign w:val="bottom"/>
            <w:hideMark/>
          </w:tcPr>
          <w:p w:rsidR="00A34766" w:rsidRPr="00676CB8" w:rsidRDefault="0019709E" w:rsidP="00A34766">
            <w:pPr>
              <w:spacing w:after="0" w:line="240" w:lineRule="auto"/>
              <w:ind w:left="-142" w:right="-88"/>
              <w:jc w:val="center"/>
              <w:rPr>
                <w:rFonts w:ascii="Arial" w:eastAsia="Times New Roman" w:hAnsi="Arial" w:cs="Arial"/>
                <w:b/>
                <w:bCs/>
                <w:sz w:val="20"/>
                <w:szCs w:val="16"/>
                <w:lang w:val="en-US"/>
              </w:rPr>
            </w:pPr>
            <w:r>
              <w:rPr>
                <w:rFonts w:ascii="Arial" w:eastAsia="Times New Roman" w:hAnsi="Arial" w:cs="Arial"/>
                <w:b/>
                <w:bCs/>
                <w:sz w:val="20"/>
                <w:szCs w:val="16"/>
                <w:lang w:val="en-US"/>
              </w:rPr>
              <w:t>71.07</w:t>
            </w:r>
            <w:r w:rsidR="00A34766">
              <w:rPr>
                <w:rFonts w:ascii="Arial" w:eastAsia="Times New Roman" w:hAnsi="Arial" w:cs="Arial"/>
                <w:b/>
                <w:bCs/>
                <w:sz w:val="20"/>
                <w:szCs w:val="16"/>
                <w:lang w:val="en-US"/>
              </w:rPr>
              <w:t>%</w:t>
            </w:r>
          </w:p>
        </w:tc>
      </w:tr>
      <w:tr w:rsidR="00A34766" w:rsidRPr="00676CB8" w:rsidTr="000A79B9">
        <w:trPr>
          <w:trHeight w:val="440"/>
        </w:trPr>
        <w:tc>
          <w:tcPr>
            <w:tcW w:w="2010" w:type="dxa"/>
            <w:shd w:val="clear" w:color="auto" w:fill="auto"/>
            <w:noWrap/>
            <w:vAlign w:val="bottom"/>
            <w:hideMark/>
          </w:tcPr>
          <w:p w:rsidR="00A34766" w:rsidRPr="0048632F" w:rsidRDefault="00A34766" w:rsidP="00A34766">
            <w:pPr>
              <w:spacing w:after="0" w:line="240" w:lineRule="auto"/>
              <w:ind w:right="-88"/>
              <w:rPr>
                <w:rFonts w:ascii="Arial" w:eastAsia="Times New Roman" w:hAnsi="Arial" w:cs="Arial"/>
                <w:b/>
                <w:i/>
                <w:color w:val="808080"/>
                <w:sz w:val="20"/>
                <w:szCs w:val="16"/>
                <w:lang w:val="en-US"/>
              </w:rPr>
            </w:pPr>
            <w:r>
              <w:rPr>
                <w:rFonts w:ascii="Arial" w:eastAsia="Times New Roman" w:hAnsi="Arial" w:cs="Arial"/>
                <w:b/>
                <w:i/>
                <w:color w:val="808080"/>
                <w:sz w:val="20"/>
                <w:szCs w:val="16"/>
                <w:lang w:val="en-US"/>
              </w:rPr>
              <w:t>Basic Variable</w:t>
            </w:r>
          </w:p>
        </w:tc>
        <w:tc>
          <w:tcPr>
            <w:tcW w:w="1118" w:type="dxa"/>
            <w:gridSpan w:val="2"/>
            <w:shd w:val="clear" w:color="auto" w:fill="auto"/>
            <w:noWrap/>
            <w:vAlign w:val="bottom"/>
            <w:hideMark/>
          </w:tcPr>
          <w:p w:rsidR="00A34766" w:rsidRPr="00676CB8" w:rsidRDefault="0019709E" w:rsidP="00A34766">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12.04</w:t>
            </w:r>
            <w:r w:rsidR="00A34766">
              <w:rPr>
                <w:rFonts w:ascii="Arial" w:eastAsia="Times New Roman" w:hAnsi="Arial" w:cs="Arial"/>
                <w:sz w:val="20"/>
                <w:szCs w:val="16"/>
                <w:lang w:val="en-US"/>
              </w:rPr>
              <w:t>%</w:t>
            </w:r>
          </w:p>
        </w:tc>
        <w:tc>
          <w:tcPr>
            <w:tcW w:w="1204" w:type="dxa"/>
            <w:gridSpan w:val="2"/>
            <w:shd w:val="clear" w:color="auto" w:fill="auto"/>
            <w:noWrap/>
            <w:vAlign w:val="bottom"/>
            <w:hideMark/>
          </w:tcPr>
          <w:p w:rsidR="00A34766" w:rsidRPr="00676CB8" w:rsidRDefault="0019709E" w:rsidP="00A34766">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23.33</w:t>
            </w:r>
            <w:r w:rsidR="00A34766">
              <w:rPr>
                <w:rFonts w:ascii="Arial" w:eastAsia="Times New Roman" w:hAnsi="Arial" w:cs="Arial"/>
                <w:sz w:val="20"/>
                <w:szCs w:val="16"/>
                <w:lang w:val="en-US"/>
              </w:rPr>
              <w:t>%</w:t>
            </w:r>
          </w:p>
        </w:tc>
        <w:tc>
          <w:tcPr>
            <w:tcW w:w="1193" w:type="dxa"/>
            <w:gridSpan w:val="2"/>
            <w:shd w:val="clear" w:color="auto" w:fill="auto"/>
            <w:noWrap/>
            <w:vAlign w:val="bottom"/>
            <w:hideMark/>
          </w:tcPr>
          <w:p w:rsidR="00A34766" w:rsidRPr="00676CB8" w:rsidRDefault="0019709E" w:rsidP="00A34766">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16.61</w:t>
            </w:r>
            <w:r w:rsidR="00A34766">
              <w:rPr>
                <w:rFonts w:ascii="Arial" w:eastAsia="Times New Roman" w:hAnsi="Arial" w:cs="Arial"/>
                <w:sz w:val="20"/>
                <w:szCs w:val="16"/>
                <w:lang w:val="en-US"/>
              </w:rPr>
              <w:t>%</w:t>
            </w:r>
          </w:p>
        </w:tc>
        <w:tc>
          <w:tcPr>
            <w:tcW w:w="1193" w:type="dxa"/>
            <w:gridSpan w:val="2"/>
            <w:shd w:val="clear" w:color="auto" w:fill="auto"/>
            <w:noWrap/>
            <w:vAlign w:val="bottom"/>
            <w:hideMark/>
          </w:tcPr>
          <w:p w:rsidR="00A34766" w:rsidRPr="00676CB8" w:rsidRDefault="0019709E" w:rsidP="00A34766">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24.09</w:t>
            </w:r>
            <w:r w:rsidR="00A34766">
              <w:rPr>
                <w:rFonts w:ascii="Arial" w:eastAsia="Times New Roman" w:hAnsi="Arial" w:cs="Arial"/>
                <w:sz w:val="20"/>
                <w:szCs w:val="16"/>
                <w:lang w:val="en-US"/>
              </w:rPr>
              <w:t>%</w:t>
            </w:r>
          </w:p>
        </w:tc>
        <w:tc>
          <w:tcPr>
            <w:tcW w:w="1337" w:type="dxa"/>
            <w:gridSpan w:val="2"/>
            <w:shd w:val="clear" w:color="auto" w:fill="auto"/>
            <w:noWrap/>
            <w:vAlign w:val="bottom"/>
            <w:hideMark/>
          </w:tcPr>
          <w:p w:rsidR="00A34766" w:rsidRPr="00676CB8" w:rsidRDefault="0019709E" w:rsidP="003A0655">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16.92</w:t>
            </w:r>
            <w:r w:rsidR="00A34766">
              <w:rPr>
                <w:rFonts w:ascii="Arial" w:eastAsia="Times New Roman" w:hAnsi="Arial" w:cs="Arial"/>
                <w:sz w:val="20"/>
                <w:szCs w:val="16"/>
                <w:lang w:val="en-US"/>
              </w:rPr>
              <w:t>%</w:t>
            </w:r>
          </w:p>
        </w:tc>
      </w:tr>
      <w:tr w:rsidR="00A34766" w:rsidRPr="00676CB8" w:rsidTr="000A79B9">
        <w:trPr>
          <w:trHeight w:val="440"/>
        </w:trPr>
        <w:tc>
          <w:tcPr>
            <w:tcW w:w="2010" w:type="dxa"/>
            <w:shd w:val="clear" w:color="auto" w:fill="auto"/>
            <w:noWrap/>
            <w:vAlign w:val="bottom"/>
            <w:hideMark/>
          </w:tcPr>
          <w:p w:rsidR="00A34766" w:rsidRPr="0048632F" w:rsidRDefault="00A34766" w:rsidP="00A34766">
            <w:pPr>
              <w:spacing w:after="0" w:line="240" w:lineRule="auto"/>
              <w:ind w:right="-88"/>
              <w:rPr>
                <w:rFonts w:ascii="Arial" w:eastAsia="Times New Roman" w:hAnsi="Arial" w:cs="Arial"/>
                <w:b/>
                <w:i/>
                <w:color w:val="808080"/>
                <w:sz w:val="20"/>
                <w:szCs w:val="16"/>
                <w:lang w:val="en-US"/>
              </w:rPr>
            </w:pPr>
            <w:r w:rsidRPr="0048632F">
              <w:rPr>
                <w:rFonts w:ascii="Arial" w:eastAsia="Times New Roman" w:hAnsi="Arial" w:cs="Arial"/>
                <w:b/>
                <w:i/>
                <w:color w:val="808080"/>
                <w:sz w:val="20"/>
                <w:szCs w:val="16"/>
                <w:lang w:val="en-US"/>
              </w:rPr>
              <w:t>Standard</w:t>
            </w:r>
            <w:r>
              <w:rPr>
                <w:rFonts w:ascii="Arial" w:eastAsia="Times New Roman" w:hAnsi="Arial" w:cs="Arial"/>
                <w:b/>
                <w:i/>
                <w:color w:val="808080"/>
                <w:sz w:val="20"/>
                <w:szCs w:val="16"/>
                <w:lang w:val="en-US"/>
              </w:rPr>
              <w:t xml:space="preserve"> Variable</w:t>
            </w:r>
          </w:p>
        </w:tc>
        <w:tc>
          <w:tcPr>
            <w:tcW w:w="1118" w:type="dxa"/>
            <w:gridSpan w:val="2"/>
            <w:shd w:val="clear" w:color="auto" w:fill="auto"/>
            <w:noWrap/>
            <w:vAlign w:val="bottom"/>
            <w:hideMark/>
          </w:tcPr>
          <w:p w:rsidR="00A34766" w:rsidRPr="00676CB8" w:rsidRDefault="0019709E" w:rsidP="00A34766">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10.49</w:t>
            </w:r>
            <w:r w:rsidR="00A34766">
              <w:rPr>
                <w:rFonts w:ascii="Arial" w:eastAsia="Times New Roman" w:hAnsi="Arial" w:cs="Arial"/>
                <w:sz w:val="20"/>
                <w:szCs w:val="16"/>
                <w:lang w:val="en-US"/>
              </w:rPr>
              <w:t>%</w:t>
            </w:r>
          </w:p>
        </w:tc>
        <w:tc>
          <w:tcPr>
            <w:tcW w:w="1204" w:type="dxa"/>
            <w:gridSpan w:val="2"/>
            <w:shd w:val="clear" w:color="auto" w:fill="auto"/>
            <w:noWrap/>
            <w:vAlign w:val="bottom"/>
            <w:hideMark/>
          </w:tcPr>
          <w:p w:rsidR="00A34766" w:rsidRPr="00676CB8" w:rsidRDefault="0019709E" w:rsidP="00A34766">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18.54</w:t>
            </w:r>
            <w:r w:rsidR="00A34766">
              <w:rPr>
                <w:rFonts w:ascii="Arial" w:eastAsia="Times New Roman" w:hAnsi="Arial" w:cs="Arial"/>
                <w:sz w:val="20"/>
                <w:szCs w:val="16"/>
                <w:lang w:val="en-US"/>
              </w:rPr>
              <w:t>%</w:t>
            </w:r>
          </w:p>
        </w:tc>
        <w:tc>
          <w:tcPr>
            <w:tcW w:w="1193" w:type="dxa"/>
            <w:gridSpan w:val="2"/>
            <w:shd w:val="clear" w:color="auto" w:fill="auto"/>
            <w:noWrap/>
            <w:vAlign w:val="bottom"/>
            <w:hideMark/>
          </w:tcPr>
          <w:p w:rsidR="00A34766" w:rsidRPr="00676CB8" w:rsidRDefault="0019709E" w:rsidP="00A34766">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10.77</w:t>
            </w:r>
            <w:r w:rsidR="00A34766">
              <w:rPr>
                <w:rFonts w:ascii="Arial" w:eastAsia="Times New Roman" w:hAnsi="Arial" w:cs="Arial"/>
                <w:sz w:val="20"/>
                <w:szCs w:val="16"/>
                <w:lang w:val="en-US"/>
              </w:rPr>
              <w:t>%</w:t>
            </w:r>
          </w:p>
        </w:tc>
        <w:tc>
          <w:tcPr>
            <w:tcW w:w="1193" w:type="dxa"/>
            <w:gridSpan w:val="2"/>
            <w:shd w:val="clear" w:color="auto" w:fill="auto"/>
            <w:noWrap/>
            <w:vAlign w:val="bottom"/>
            <w:hideMark/>
          </w:tcPr>
          <w:p w:rsidR="00A34766" w:rsidRPr="00676CB8" w:rsidRDefault="0019709E" w:rsidP="00A34766">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15.10</w:t>
            </w:r>
            <w:r w:rsidR="00A34766">
              <w:rPr>
                <w:rFonts w:ascii="Arial" w:eastAsia="Times New Roman" w:hAnsi="Arial" w:cs="Arial"/>
                <w:sz w:val="20"/>
                <w:szCs w:val="16"/>
                <w:lang w:val="en-US"/>
              </w:rPr>
              <w:t>%</w:t>
            </w:r>
          </w:p>
        </w:tc>
        <w:tc>
          <w:tcPr>
            <w:tcW w:w="1337" w:type="dxa"/>
            <w:gridSpan w:val="2"/>
            <w:shd w:val="clear" w:color="auto" w:fill="auto"/>
            <w:noWrap/>
            <w:vAlign w:val="bottom"/>
            <w:hideMark/>
          </w:tcPr>
          <w:p w:rsidR="00A34766" w:rsidRPr="00676CB8" w:rsidRDefault="0019709E" w:rsidP="00A34766">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11.10</w:t>
            </w:r>
            <w:r w:rsidR="00A34766">
              <w:rPr>
                <w:rFonts w:ascii="Arial" w:eastAsia="Times New Roman" w:hAnsi="Arial" w:cs="Arial"/>
                <w:sz w:val="20"/>
                <w:szCs w:val="16"/>
                <w:lang w:val="en-US"/>
              </w:rPr>
              <w:t>%</w:t>
            </w:r>
          </w:p>
        </w:tc>
      </w:tr>
      <w:tr w:rsidR="00A34766" w:rsidRPr="00676CB8" w:rsidTr="000A79B9">
        <w:trPr>
          <w:trHeight w:val="440"/>
        </w:trPr>
        <w:tc>
          <w:tcPr>
            <w:tcW w:w="2010" w:type="dxa"/>
            <w:shd w:val="clear" w:color="auto" w:fill="auto"/>
            <w:noWrap/>
            <w:vAlign w:val="bottom"/>
            <w:hideMark/>
          </w:tcPr>
          <w:p w:rsidR="00A34766" w:rsidRPr="0048632F" w:rsidRDefault="00A34766" w:rsidP="00A34766">
            <w:pPr>
              <w:spacing w:after="0" w:line="240" w:lineRule="auto"/>
              <w:ind w:right="-88"/>
              <w:rPr>
                <w:rFonts w:ascii="Arial" w:eastAsia="Times New Roman" w:hAnsi="Arial" w:cs="Arial"/>
                <w:b/>
                <w:i/>
                <w:color w:val="808080"/>
                <w:sz w:val="20"/>
                <w:szCs w:val="16"/>
                <w:lang w:val="en-US"/>
              </w:rPr>
            </w:pPr>
            <w:r w:rsidRPr="0048632F">
              <w:rPr>
                <w:rFonts w:ascii="Arial" w:eastAsia="Times New Roman" w:hAnsi="Arial" w:cs="Arial"/>
                <w:b/>
                <w:i/>
                <w:color w:val="808080"/>
                <w:sz w:val="20"/>
                <w:szCs w:val="16"/>
                <w:lang w:val="en-US"/>
              </w:rPr>
              <w:t>Ongoing</w:t>
            </w:r>
            <w:r>
              <w:rPr>
                <w:rFonts w:ascii="Arial" w:eastAsia="Times New Roman" w:hAnsi="Arial" w:cs="Arial"/>
                <w:b/>
                <w:i/>
                <w:color w:val="808080"/>
                <w:sz w:val="20"/>
                <w:szCs w:val="16"/>
                <w:lang w:val="en-US"/>
              </w:rPr>
              <w:t xml:space="preserve"> Discount</w:t>
            </w:r>
          </w:p>
        </w:tc>
        <w:tc>
          <w:tcPr>
            <w:tcW w:w="1118" w:type="dxa"/>
            <w:gridSpan w:val="2"/>
            <w:shd w:val="clear" w:color="auto" w:fill="auto"/>
            <w:noWrap/>
            <w:vAlign w:val="bottom"/>
            <w:hideMark/>
          </w:tcPr>
          <w:p w:rsidR="00A34766" w:rsidRPr="00676CB8" w:rsidRDefault="0019709E" w:rsidP="00A34766">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52.81</w:t>
            </w:r>
            <w:r w:rsidR="00A34766">
              <w:rPr>
                <w:rFonts w:ascii="Arial" w:eastAsia="Times New Roman" w:hAnsi="Arial" w:cs="Arial"/>
                <w:sz w:val="20"/>
                <w:szCs w:val="16"/>
                <w:lang w:val="en-US"/>
              </w:rPr>
              <w:t>%</w:t>
            </w:r>
          </w:p>
        </w:tc>
        <w:tc>
          <w:tcPr>
            <w:tcW w:w="1204" w:type="dxa"/>
            <w:gridSpan w:val="2"/>
            <w:shd w:val="clear" w:color="auto" w:fill="auto"/>
            <w:noWrap/>
            <w:vAlign w:val="bottom"/>
            <w:hideMark/>
          </w:tcPr>
          <w:p w:rsidR="00A34766" w:rsidRPr="00676CB8" w:rsidRDefault="0019709E" w:rsidP="00A34766">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44.79</w:t>
            </w:r>
            <w:r w:rsidR="00A34766">
              <w:rPr>
                <w:rFonts w:ascii="Arial" w:eastAsia="Times New Roman" w:hAnsi="Arial" w:cs="Arial"/>
                <w:sz w:val="20"/>
                <w:szCs w:val="16"/>
                <w:lang w:val="en-US"/>
              </w:rPr>
              <w:t>%</w:t>
            </w:r>
          </w:p>
        </w:tc>
        <w:tc>
          <w:tcPr>
            <w:tcW w:w="1193" w:type="dxa"/>
            <w:gridSpan w:val="2"/>
            <w:shd w:val="clear" w:color="auto" w:fill="auto"/>
            <w:noWrap/>
            <w:vAlign w:val="bottom"/>
            <w:hideMark/>
          </w:tcPr>
          <w:p w:rsidR="00A34766" w:rsidRPr="00676CB8" w:rsidRDefault="0019709E" w:rsidP="00A34766">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45.52</w:t>
            </w:r>
            <w:r w:rsidR="00A34766">
              <w:rPr>
                <w:rFonts w:ascii="Arial" w:eastAsia="Times New Roman" w:hAnsi="Arial" w:cs="Arial"/>
                <w:sz w:val="20"/>
                <w:szCs w:val="16"/>
                <w:lang w:val="en-US"/>
              </w:rPr>
              <w:t>%</w:t>
            </w:r>
          </w:p>
        </w:tc>
        <w:tc>
          <w:tcPr>
            <w:tcW w:w="1193" w:type="dxa"/>
            <w:gridSpan w:val="2"/>
            <w:shd w:val="clear" w:color="auto" w:fill="auto"/>
            <w:noWrap/>
            <w:vAlign w:val="bottom"/>
            <w:hideMark/>
          </w:tcPr>
          <w:p w:rsidR="00A34766" w:rsidRPr="00676CB8" w:rsidRDefault="0019709E" w:rsidP="00A34766">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34.31</w:t>
            </w:r>
            <w:r w:rsidR="00A34766">
              <w:rPr>
                <w:rFonts w:ascii="Arial" w:eastAsia="Times New Roman" w:hAnsi="Arial" w:cs="Arial"/>
                <w:sz w:val="20"/>
                <w:szCs w:val="16"/>
                <w:lang w:val="en-US"/>
              </w:rPr>
              <w:t>%</w:t>
            </w:r>
          </w:p>
        </w:tc>
        <w:tc>
          <w:tcPr>
            <w:tcW w:w="1337" w:type="dxa"/>
            <w:gridSpan w:val="2"/>
            <w:shd w:val="clear" w:color="auto" w:fill="auto"/>
            <w:noWrap/>
            <w:vAlign w:val="bottom"/>
            <w:hideMark/>
          </w:tcPr>
          <w:p w:rsidR="00A34766" w:rsidRPr="00676CB8" w:rsidRDefault="0019709E" w:rsidP="00A34766">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39.09</w:t>
            </w:r>
            <w:r w:rsidR="00A34766">
              <w:rPr>
                <w:rFonts w:ascii="Arial" w:eastAsia="Times New Roman" w:hAnsi="Arial" w:cs="Arial"/>
                <w:sz w:val="20"/>
                <w:szCs w:val="16"/>
                <w:lang w:val="en-US"/>
              </w:rPr>
              <w:t>%</w:t>
            </w:r>
          </w:p>
        </w:tc>
      </w:tr>
      <w:tr w:rsidR="00A34766" w:rsidRPr="00676CB8" w:rsidTr="000A79B9">
        <w:trPr>
          <w:trHeight w:val="440"/>
        </w:trPr>
        <w:tc>
          <w:tcPr>
            <w:tcW w:w="2010" w:type="dxa"/>
            <w:shd w:val="clear" w:color="auto" w:fill="auto"/>
            <w:noWrap/>
            <w:vAlign w:val="bottom"/>
            <w:hideMark/>
          </w:tcPr>
          <w:p w:rsidR="00A34766" w:rsidRPr="0048632F" w:rsidRDefault="00A34766" w:rsidP="00A34766">
            <w:pPr>
              <w:spacing w:after="0" w:line="240" w:lineRule="auto"/>
              <w:ind w:right="-88"/>
              <w:rPr>
                <w:rFonts w:ascii="Arial" w:eastAsia="Times New Roman" w:hAnsi="Arial" w:cs="Arial"/>
                <w:b/>
                <w:i/>
                <w:color w:val="808080"/>
                <w:sz w:val="20"/>
                <w:szCs w:val="16"/>
                <w:lang w:val="en-US"/>
              </w:rPr>
            </w:pPr>
            <w:r>
              <w:rPr>
                <w:rFonts w:ascii="Arial" w:eastAsia="Times New Roman" w:hAnsi="Arial" w:cs="Arial"/>
                <w:b/>
                <w:i/>
                <w:color w:val="808080"/>
                <w:sz w:val="20"/>
                <w:szCs w:val="16"/>
                <w:lang w:val="en-US"/>
              </w:rPr>
              <w:t>Line of Credit</w:t>
            </w:r>
          </w:p>
        </w:tc>
        <w:tc>
          <w:tcPr>
            <w:tcW w:w="1118" w:type="dxa"/>
            <w:gridSpan w:val="2"/>
            <w:shd w:val="clear" w:color="auto" w:fill="auto"/>
            <w:noWrap/>
            <w:vAlign w:val="bottom"/>
            <w:hideMark/>
          </w:tcPr>
          <w:p w:rsidR="00A34766" w:rsidRPr="00676CB8" w:rsidRDefault="0019709E" w:rsidP="00A34766">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1.34</w:t>
            </w:r>
            <w:r w:rsidR="00A34766">
              <w:rPr>
                <w:rFonts w:ascii="Arial" w:eastAsia="Times New Roman" w:hAnsi="Arial" w:cs="Arial"/>
                <w:sz w:val="20"/>
                <w:szCs w:val="16"/>
                <w:lang w:val="en-US"/>
              </w:rPr>
              <w:t>%</w:t>
            </w:r>
          </w:p>
        </w:tc>
        <w:tc>
          <w:tcPr>
            <w:tcW w:w="1204" w:type="dxa"/>
            <w:gridSpan w:val="2"/>
            <w:shd w:val="clear" w:color="auto" w:fill="auto"/>
            <w:noWrap/>
            <w:vAlign w:val="bottom"/>
            <w:hideMark/>
          </w:tcPr>
          <w:p w:rsidR="00A34766" w:rsidRPr="00676CB8" w:rsidRDefault="0019709E" w:rsidP="00A34766">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0.88</w:t>
            </w:r>
            <w:r w:rsidR="00A34766">
              <w:rPr>
                <w:rFonts w:ascii="Arial" w:eastAsia="Times New Roman" w:hAnsi="Arial" w:cs="Arial"/>
                <w:sz w:val="20"/>
                <w:szCs w:val="16"/>
                <w:lang w:val="en-US"/>
              </w:rPr>
              <w:t>%</w:t>
            </w:r>
          </w:p>
        </w:tc>
        <w:tc>
          <w:tcPr>
            <w:tcW w:w="1193" w:type="dxa"/>
            <w:gridSpan w:val="2"/>
            <w:shd w:val="clear" w:color="auto" w:fill="auto"/>
            <w:noWrap/>
            <w:vAlign w:val="bottom"/>
            <w:hideMark/>
          </w:tcPr>
          <w:p w:rsidR="00A34766" w:rsidRPr="00676CB8" w:rsidRDefault="0019709E" w:rsidP="000C4797">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0.44</w:t>
            </w:r>
            <w:r w:rsidR="00A34766">
              <w:rPr>
                <w:rFonts w:ascii="Arial" w:eastAsia="Times New Roman" w:hAnsi="Arial" w:cs="Arial"/>
                <w:sz w:val="20"/>
                <w:szCs w:val="16"/>
                <w:lang w:val="en-US"/>
              </w:rPr>
              <w:t>%</w:t>
            </w:r>
          </w:p>
        </w:tc>
        <w:tc>
          <w:tcPr>
            <w:tcW w:w="1193" w:type="dxa"/>
            <w:gridSpan w:val="2"/>
            <w:shd w:val="clear" w:color="auto" w:fill="auto"/>
            <w:noWrap/>
            <w:vAlign w:val="bottom"/>
            <w:hideMark/>
          </w:tcPr>
          <w:p w:rsidR="00A34766" w:rsidRPr="00676CB8" w:rsidRDefault="0019709E" w:rsidP="00A34766">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1.69</w:t>
            </w:r>
            <w:r w:rsidR="00A34766">
              <w:rPr>
                <w:rFonts w:ascii="Arial" w:eastAsia="Times New Roman" w:hAnsi="Arial" w:cs="Arial"/>
                <w:sz w:val="20"/>
                <w:szCs w:val="16"/>
                <w:lang w:val="en-US"/>
              </w:rPr>
              <w:t>%</w:t>
            </w:r>
          </w:p>
        </w:tc>
        <w:tc>
          <w:tcPr>
            <w:tcW w:w="1337" w:type="dxa"/>
            <w:gridSpan w:val="2"/>
            <w:shd w:val="clear" w:color="auto" w:fill="auto"/>
            <w:noWrap/>
            <w:vAlign w:val="bottom"/>
            <w:hideMark/>
          </w:tcPr>
          <w:p w:rsidR="00A34766" w:rsidRPr="00676CB8" w:rsidRDefault="0019709E" w:rsidP="00A34766">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0.38</w:t>
            </w:r>
            <w:r w:rsidR="00A34766">
              <w:rPr>
                <w:rFonts w:ascii="Arial" w:eastAsia="Times New Roman" w:hAnsi="Arial" w:cs="Arial"/>
                <w:sz w:val="20"/>
                <w:szCs w:val="16"/>
                <w:lang w:val="en-US"/>
              </w:rPr>
              <w:t>%</w:t>
            </w:r>
          </w:p>
        </w:tc>
      </w:tr>
      <w:tr w:rsidR="00A34766" w:rsidRPr="00676CB8" w:rsidTr="000A79B9">
        <w:trPr>
          <w:trHeight w:val="440"/>
        </w:trPr>
        <w:tc>
          <w:tcPr>
            <w:tcW w:w="2010" w:type="dxa"/>
            <w:shd w:val="clear" w:color="auto" w:fill="auto"/>
            <w:noWrap/>
            <w:vAlign w:val="bottom"/>
            <w:hideMark/>
          </w:tcPr>
          <w:p w:rsidR="00A34766" w:rsidRPr="0048632F" w:rsidRDefault="00A34766" w:rsidP="00A34766">
            <w:pPr>
              <w:spacing w:after="0" w:line="240" w:lineRule="auto"/>
              <w:ind w:right="-88"/>
              <w:rPr>
                <w:rFonts w:ascii="Arial" w:eastAsia="Times New Roman" w:hAnsi="Arial" w:cs="Arial"/>
                <w:b/>
                <w:i/>
                <w:color w:val="808080"/>
                <w:sz w:val="20"/>
                <w:szCs w:val="16"/>
                <w:lang w:val="en-US"/>
              </w:rPr>
            </w:pPr>
            <w:r w:rsidRPr="0048632F">
              <w:rPr>
                <w:rFonts w:ascii="Arial" w:eastAsia="Times New Roman" w:hAnsi="Arial" w:cs="Arial"/>
                <w:b/>
                <w:i/>
                <w:color w:val="808080"/>
                <w:sz w:val="20"/>
                <w:szCs w:val="16"/>
                <w:lang w:val="en-US"/>
              </w:rPr>
              <w:t>Intro</w:t>
            </w:r>
            <w:r>
              <w:rPr>
                <w:rFonts w:ascii="Arial" w:eastAsia="Times New Roman" w:hAnsi="Arial" w:cs="Arial"/>
                <w:b/>
                <w:i/>
                <w:color w:val="808080"/>
                <w:sz w:val="20"/>
                <w:szCs w:val="16"/>
                <w:lang w:val="en-US"/>
              </w:rPr>
              <w:t>ductory Rate</w:t>
            </w:r>
          </w:p>
        </w:tc>
        <w:tc>
          <w:tcPr>
            <w:tcW w:w="1118" w:type="dxa"/>
            <w:gridSpan w:val="2"/>
            <w:shd w:val="clear" w:color="auto" w:fill="auto"/>
            <w:noWrap/>
            <w:vAlign w:val="bottom"/>
            <w:hideMark/>
          </w:tcPr>
          <w:p w:rsidR="00A34766" w:rsidRPr="00676CB8" w:rsidRDefault="0019709E" w:rsidP="0054689D">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1.85</w:t>
            </w:r>
            <w:r w:rsidR="00A34766">
              <w:rPr>
                <w:rFonts w:ascii="Arial" w:eastAsia="Times New Roman" w:hAnsi="Arial" w:cs="Arial"/>
                <w:sz w:val="20"/>
                <w:szCs w:val="16"/>
                <w:lang w:val="en-US"/>
              </w:rPr>
              <w:t>%</w:t>
            </w:r>
          </w:p>
        </w:tc>
        <w:tc>
          <w:tcPr>
            <w:tcW w:w="1204" w:type="dxa"/>
            <w:gridSpan w:val="2"/>
            <w:shd w:val="clear" w:color="auto" w:fill="auto"/>
            <w:noWrap/>
            <w:vAlign w:val="bottom"/>
            <w:hideMark/>
          </w:tcPr>
          <w:p w:rsidR="00A34766" w:rsidRPr="00676CB8" w:rsidRDefault="0019709E" w:rsidP="00230777">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0.42</w:t>
            </w:r>
            <w:r w:rsidR="00A34766">
              <w:rPr>
                <w:rFonts w:ascii="Arial" w:eastAsia="Times New Roman" w:hAnsi="Arial" w:cs="Arial"/>
                <w:sz w:val="20"/>
                <w:szCs w:val="16"/>
                <w:lang w:val="en-US"/>
              </w:rPr>
              <w:t>%</w:t>
            </w:r>
          </w:p>
        </w:tc>
        <w:tc>
          <w:tcPr>
            <w:tcW w:w="1193" w:type="dxa"/>
            <w:gridSpan w:val="2"/>
            <w:shd w:val="clear" w:color="auto" w:fill="auto"/>
            <w:noWrap/>
            <w:vAlign w:val="bottom"/>
            <w:hideMark/>
          </w:tcPr>
          <w:p w:rsidR="00A34766" w:rsidRPr="00676CB8" w:rsidRDefault="0019709E" w:rsidP="00E8297C">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2.75</w:t>
            </w:r>
            <w:r w:rsidR="00A34766">
              <w:rPr>
                <w:rFonts w:ascii="Arial" w:eastAsia="Times New Roman" w:hAnsi="Arial" w:cs="Arial"/>
                <w:sz w:val="20"/>
                <w:szCs w:val="16"/>
                <w:lang w:val="en-US"/>
              </w:rPr>
              <w:t>%</w:t>
            </w:r>
          </w:p>
        </w:tc>
        <w:tc>
          <w:tcPr>
            <w:tcW w:w="1193" w:type="dxa"/>
            <w:gridSpan w:val="2"/>
            <w:shd w:val="clear" w:color="auto" w:fill="auto"/>
            <w:noWrap/>
            <w:vAlign w:val="bottom"/>
            <w:hideMark/>
          </w:tcPr>
          <w:p w:rsidR="00A34766" w:rsidRPr="00676CB8" w:rsidRDefault="0019709E" w:rsidP="0019709E">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9.67</w:t>
            </w:r>
            <w:r w:rsidR="00A34766">
              <w:rPr>
                <w:rFonts w:ascii="Arial" w:eastAsia="Times New Roman" w:hAnsi="Arial" w:cs="Arial"/>
                <w:sz w:val="20"/>
                <w:szCs w:val="16"/>
                <w:lang w:val="en-US"/>
              </w:rPr>
              <w:t>%</w:t>
            </w:r>
          </w:p>
        </w:tc>
        <w:tc>
          <w:tcPr>
            <w:tcW w:w="1337" w:type="dxa"/>
            <w:gridSpan w:val="2"/>
            <w:shd w:val="clear" w:color="auto" w:fill="auto"/>
            <w:noWrap/>
            <w:vAlign w:val="bottom"/>
            <w:hideMark/>
          </w:tcPr>
          <w:p w:rsidR="00A34766" w:rsidRPr="00676CB8" w:rsidRDefault="0019709E" w:rsidP="0019709E">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3.58</w:t>
            </w:r>
            <w:r w:rsidR="00A34766">
              <w:rPr>
                <w:rFonts w:ascii="Arial" w:eastAsia="Times New Roman" w:hAnsi="Arial" w:cs="Arial"/>
                <w:sz w:val="20"/>
                <w:szCs w:val="16"/>
                <w:lang w:val="en-US"/>
              </w:rPr>
              <w:t>%</w:t>
            </w:r>
          </w:p>
        </w:tc>
      </w:tr>
      <w:tr w:rsidR="00A34766" w:rsidRPr="00676CB8" w:rsidTr="000A79B9">
        <w:trPr>
          <w:trHeight w:val="440"/>
        </w:trPr>
        <w:tc>
          <w:tcPr>
            <w:tcW w:w="2299" w:type="dxa"/>
            <w:gridSpan w:val="2"/>
            <w:shd w:val="clear" w:color="auto" w:fill="auto"/>
            <w:noWrap/>
            <w:vAlign w:val="bottom"/>
            <w:hideMark/>
          </w:tcPr>
          <w:p w:rsidR="00A34766" w:rsidRPr="0048632F" w:rsidRDefault="00A34766" w:rsidP="00A34766">
            <w:pPr>
              <w:spacing w:after="0" w:line="240" w:lineRule="auto"/>
              <w:ind w:left="-142" w:right="-88"/>
              <w:rPr>
                <w:rFonts w:ascii="Arial" w:eastAsia="Times New Roman" w:hAnsi="Arial" w:cs="Arial"/>
                <w:b/>
                <w:bCs/>
                <w:sz w:val="20"/>
                <w:szCs w:val="16"/>
                <w:lang w:val="en-US"/>
              </w:rPr>
            </w:pPr>
            <w:r>
              <w:rPr>
                <w:rFonts w:ascii="Arial" w:eastAsia="Times New Roman" w:hAnsi="Arial" w:cs="Arial"/>
                <w:b/>
                <w:bCs/>
                <w:sz w:val="20"/>
                <w:szCs w:val="16"/>
                <w:lang w:val="en-US"/>
              </w:rPr>
              <w:t xml:space="preserve"> </w:t>
            </w:r>
            <w:r w:rsidRPr="0048632F">
              <w:rPr>
                <w:rFonts w:ascii="Arial" w:eastAsia="Times New Roman" w:hAnsi="Arial" w:cs="Arial"/>
                <w:b/>
                <w:bCs/>
                <w:sz w:val="20"/>
                <w:szCs w:val="16"/>
                <w:lang w:val="en-US"/>
              </w:rPr>
              <w:t>Fixed</w:t>
            </w:r>
          </w:p>
        </w:tc>
        <w:tc>
          <w:tcPr>
            <w:tcW w:w="1118" w:type="dxa"/>
            <w:gridSpan w:val="2"/>
            <w:shd w:val="clear" w:color="auto" w:fill="auto"/>
            <w:noWrap/>
            <w:vAlign w:val="bottom"/>
            <w:hideMark/>
          </w:tcPr>
          <w:p w:rsidR="00A34766" w:rsidRPr="00676CB8" w:rsidRDefault="0019709E" w:rsidP="008E58F9">
            <w:pPr>
              <w:spacing w:after="0" w:line="240" w:lineRule="auto"/>
              <w:ind w:left="-142" w:right="-88"/>
              <w:jc w:val="center"/>
              <w:rPr>
                <w:rFonts w:ascii="Arial" w:eastAsia="Times New Roman" w:hAnsi="Arial" w:cs="Arial"/>
                <w:b/>
                <w:bCs/>
                <w:sz w:val="20"/>
                <w:szCs w:val="16"/>
                <w:lang w:val="en-US"/>
              </w:rPr>
            </w:pPr>
            <w:r>
              <w:rPr>
                <w:rFonts w:ascii="Arial" w:eastAsia="Times New Roman" w:hAnsi="Arial" w:cs="Arial"/>
                <w:b/>
                <w:bCs/>
                <w:sz w:val="20"/>
                <w:szCs w:val="16"/>
                <w:lang w:val="en-US"/>
              </w:rPr>
              <w:t>21.47</w:t>
            </w:r>
            <w:r w:rsidR="00A34766">
              <w:rPr>
                <w:rFonts w:ascii="Arial" w:eastAsia="Times New Roman" w:hAnsi="Arial" w:cs="Arial"/>
                <w:b/>
                <w:bCs/>
                <w:sz w:val="20"/>
                <w:szCs w:val="16"/>
                <w:lang w:val="en-US"/>
              </w:rPr>
              <w:t>%</w:t>
            </w:r>
          </w:p>
        </w:tc>
        <w:tc>
          <w:tcPr>
            <w:tcW w:w="1204" w:type="dxa"/>
            <w:gridSpan w:val="2"/>
            <w:shd w:val="clear" w:color="auto" w:fill="auto"/>
            <w:noWrap/>
            <w:vAlign w:val="bottom"/>
            <w:hideMark/>
          </w:tcPr>
          <w:p w:rsidR="00A34766" w:rsidRPr="00676CB8" w:rsidRDefault="0019709E" w:rsidP="00A34766">
            <w:pPr>
              <w:spacing w:after="0" w:line="240" w:lineRule="auto"/>
              <w:ind w:left="-142" w:right="-88"/>
              <w:jc w:val="center"/>
              <w:rPr>
                <w:rFonts w:ascii="Arial" w:eastAsia="Times New Roman" w:hAnsi="Arial" w:cs="Arial"/>
                <w:b/>
                <w:bCs/>
                <w:sz w:val="20"/>
                <w:szCs w:val="16"/>
                <w:lang w:val="en-US"/>
              </w:rPr>
            </w:pPr>
            <w:r>
              <w:rPr>
                <w:rFonts w:ascii="Arial" w:eastAsia="Times New Roman" w:hAnsi="Arial" w:cs="Arial"/>
                <w:b/>
                <w:bCs/>
                <w:sz w:val="20"/>
                <w:szCs w:val="16"/>
                <w:lang w:val="en-US"/>
              </w:rPr>
              <w:t>12.04</w:t>
            </w:r>
            <w:r w:rsidR="00A34766">
              <w:rPr>
                <w:rFonts w:ascii="Arial" w:eastAsia="Times New Roman" w:hAnsi="Arial" w:cs="Arial"/>
                <w:b/>
                <w:bCs/>
                <w:sz w:val="20"/>
                <w:szCs w:val="16"/>
                <w:lang w:val="en-US"/>
              </w:rPr>
              <w:t>%</w:t>
            </w:r>
          </w:p>
        </w:tc>
        <w:tc>
          <w:tcPr>
            <w:tcW w:w="1193" w:type="dxa"/>
            <w:gridSpan w:val="2"/>
            <w:shd w:val="clear" w:color="auto" w:fill="auto"/>
            <w:noWrap/>
            <w:vAlign w:val="bottom"/>
            <w:hideMark/>
          </w:tcPr>
          <w:p w:rsidR="00A34766" w:rsidRPr="00676CB8" w:rsidRDefault="0019709E" w:rsidP="00A34766">
            <w:pPr>
              <w:spacing w:after="0" w:line="240" w:lineRule="auto"/>
              <w:ind w:left="-142" w:right="-88"/>
              <w:jc w:val="center"/>
              <w:rPr>
                <w:rFonts w:ascii="Arial" w:eastAsia="Times New Roman" w:hAnsi="Arial" w:cs="Arial"/>
                <w:b/>
                <w:bCs/>
                <w:sz w:val="20"/>
                <w:szCs w:val="16"/>
                <w:lang w:val="en-US"/>
              </w:rPr>
            </w:pPr>
            <w:r>
              <w:rPr>
                <w:rFonts w:ascii="Arial" w:eastAsia="Times New Roman" w:hAnsi="Arial" w:cs="Arial"/>
                <w:b/>
                <w:bCs/>
                <w:sz w:val="20"/>
                <w:szCs w:val="16"/>
                <w:lang w:val="en-US"/>
              </w:rPr>
              <w:t>23.91</w:t>
            </w:r>
            <w:r w:rsidR="00A34766">
              <w:rPr>
                <w:rFonts w:ascii="Arial" w:eastAsia="Times New Roman" w:hAnsi="Arial" w:cs="Arial"/>
                <w:b/>
                <w:bCs/>
                <w:sz w:val="20"/>
                <w:szCs w:val="16"/>
                <w:lang w:val="en-US"/>
              </w:rPr>
              <w:t>%</w:t>
            </w:r>
          </w:p>
        </w:tc>
        <w:tc>
          <w:tcPr>
            <w:tcW w:w="1193" w:type="dxa"/>
            <w:gridSpan w:val="2"/>
            <w:shd w:val="clear" w:color="auto" w:fill="auto"/>
            <w:noWrap/>
            <w:vAlign w:val="bottom"/>
            <w:hideMark/>
          </w:tcPr>
          <w:p w:rsidR="00A34766" w:rsidRPr="00676CB8" w:rsidRDefault="0019709E" w:rsidP="00A34766">
            <w:pPr>
              <w:spacing w:after="0" w:line="240" w:lineRule="auto"/>
              <w:ind w:left="-142" w:right="-88"/>
              <w:jc w:val="center"/>
              <w:rPr>
                <w:rFonts w:ascii="Arial" w:eastAsia="Times New Roman" w:hAnsi="Arial" w:cs="Arial"/>
                <w:b/>
                <w:bCs/>
                <w:sz w:val="20"/>
                <w:szCs w:val="16"/>
                <w:lang w:val="en-US"/>
              </w:rPr>
            </w:pPr>
            <w:r>
              <w:rPr>
                <w:rFonts w:ascii="Arial" w:eastAsia="Times New Roman" w:hAnsi="Arial" w:cs="Arial"/>
                <w:b/>
                <w:bCs/>
                <w:sz w:val="20"/>
                <w:szCs w:val="16"/>
                <w:lang w:val="en-US"/>
              </w:rPr>
              <w:t>15.14</w:t>
            </w:r>
            <w:r w:rsidR="00A34766">
              <w:rPr>
                <w:rFonts w:ascii="Arial" w:eastAsia="Times New Roman" w:hAnsi="Arial" w:cs="Arial"/>
                <w:b/>
                <w:bCs/>
                <w:sz w:val="20"/>
                <w:szCs w:val="16"/>
                <w:lang w:val="en-US"/>
              </w:rPr>
              <w:t>%</w:t>
            </w:r>
          </w:p>
        </w:tc>
        <w:tc>
          <w:tcPr>
            <w:tcW w:w="1048" w:type="dxa"/>
            <w:shd w:val="clear" w:color="auto" w:fill="auto"/>
            <w:noWrap/>
            <w:vAlign w:val="bottom"/>
            <w:hideMark/>
          </w:tcPr>
          <w:p w:rsidR="00A34766" w:rsidRPr="00676CB8" w:rsidRDefault="0019709E" w:rsidP="00A34766">
            <w:pPr>
              <w:spacing w:after="0" w:line="240" w:lineRule="auto"/>
              <w:ind w:left="-142" w:right="-88"/>
              <w:jc w:val="right"/>
              <w:rPr>
                <w:rFonts w:ascii="Arial" w:eastAsia="Times New Roman" w:hAnsi="Arial" w:cs="Arial"/>
                <w:b/>
                <w:bCs/>
                <w:sz w:val="20"/>
                <w:szCs w:val="16"/>
                <w:lang w:val="en-US"/>
              </w:rPr>
            </w:pPr>
            <w:r>
              <w:rPr>
                <w:rFonts w:ascii="Arial" w:eastAsia="Times New Roman" w:hAnsi="Arial" w:cs="Arial"/>
                <w:b/>
                <w:bCs/>
                <w:sz w:val="20"/>
                <w:szCs w:val="16"/>
                <w:lang w:val="en-US"/>
              </w:rPr>
              <w:t>28.93</w:t>
            </w:r>
            <w:r w:rsidR="00A34766">
              <w:rPr>
                <w:rFonts w:ascii="Arial" w:eastAsia="Times New Roman" w:hAnsi="Arial" w:cs="Arial"/>
                <w:b/>
                <w:bCs/>
                <w:sz w:val="20"/>
                <w:szCs w:val="16"/>
                <w:lang w:val="en-US"/>
              </w:rPr>
              <w:t>%</w:t>
            </w:r>
          </w:p>
        </w:tc>
      </w:tr>
    </w:tbl>
    <w:p w:rsidR="00681D9D" w:rsidRDefault="00681D9D" w:rsidP="00ED5964">
      <w:pPr>
        <w:pStyle w:val="BodyText"/>
        <w:ind w:left="-284" w:right="-330"/>
        <w:rPr>
          <w:rFonts w:ascii="Calibri" w:hAnsi="Calibri" w:cs="Calibri"/>
          <w:b/>
          <w:sz w:val="20"/>
          <w:szCs w:val="20"/>
          <w:u w:val="single"/>
        </w:rPr>
      </w:pPr>
    </w:p>
    <w:p w:rsidR="0019709E" w:rsidRDefault="0019709E" w:rsidP="00ED5964">
      <w:pPr>
        <w:pStyle w:val="BodyText"/>
        <w:ind w:left="-284" w:right="-330"/>
        <w:rPr>
          <w:rFonts w:ascii="Calibri" w:hAnsi="Calibri" w:cs="Calibri"/>
          <w:b/>
          <w:sz w:val="20"/>
          <w:szCs w:val="20"/>
          <w:u w:val="single"/>
        </w:rPr>
      </w:pPr>
    </w:p>
    <w:p w:rsidR="00ED5964" w:rsidRPr="00F119D7" w:rsidRDefault="00ED5964" w:rsidP="00ED5964">
      <w:pPr>
        <w:pStyle w:val="BodyText"/>
        <w:ind w:left="-284" w:right="-330"/>
        <w:rPr>
          <w:rFonts w:ascii="Calibri" w:hAnsi="Calibri" w:cs="Calibri"/>
          <w:b/>
          <w:sz w:val="20"/>
          <w:szCs w:val="20"/>
          <w:u w:val="single"/>
        </w:rPr>
      </w:pPr>
      <w:r w:rsidRPr="00F119D7">
        <w:rPr>
          <w:rFonts w:ascii="Calibri" w:hAnsi="Calibri" w:cs="Calibri"/>
          <w:b/>
          <w:sz w:val="20"/>
          <w:szCs w:val="20"/>
          <w:u w:val="single"/>
        </w:rPr>
        <w:t>For further information, or to arrange an interview, please contact:</w:t>
      </w:r>
    </w:p>
    <w:p w:rsidR="00ED5964" w:rsidRPr="007E344F" w:rsidRDefault="00ED5964" w:rsidP="00ED5964">
      <w:pPr>
        <w:pStyle w:val="BodyText"/>
        <w:ind w:left="-284" w:right="-330"/>
        <w:rPr>
          <w:rFonts w:ascii="Calibri" w:hAnsi="Calibri" w:cs="Calibri"/>
          <w:sz w:val="6"/>
          <w:szCs w:val="20"/>
        </w:rPr>
      </w:pPr>
    </w:p>
    <w:p w:rsidR="00ED5964" w:rsidRPr="00F119D7" w:rsidRDefault="00681D9D" w:rsidP="00ED5964">
      <w:pPr>
        <w:pStyle w:val="BodyText"/>
        <w:ind w:left="-284" w:right="-330"/>
        <w:rPr>
          <w:rFonts w:ascii="Calibri" w:hAnsi="Calibri" w:cs="Calibri"/>
          <w:sz w:val="20"/>
          <w:szCs w:val="20"/>
        </w:rPr>
      </w:pPr>
      <w:r>
        <w:rPr>
          <w:rFonts w:ascii="Calibri" w:hAnsi="Calibri" w:cs="Calibri"/>
          <w:sz w:val="20"/>
          <w:szCs w:val="20"/>
        </w:rPr>
        <w:t>Jessica Darnbrough</w:t>
      </w:r>
      <w:r w:rsidR="00ED5964">
        <w:rPr>
          <w:rFonts w:ascii="Calibri" w:hAnsi="Calibri" w:cs="Calibri"/>
          <w:sz w:val="20"/>
          <w:szCs w:val="20"/>
        </w:rPr>
        <w:tab/>
      </w:r>
      <w:r w:rsidR="00ED5964">
        <w:rPr>
          <w:rFonts w:ascii="Calibri" w:hAnsi="Calibri" w:cs="Calibri"/>
          <w:sz w:val="20"/>
          <w:szCs w:val="20"/>
        </w:rPr>
        <w:tab/>
      </w:r>
      <w:r w:rsidR="00ED5964">
        <w:rPr>
          <w:rFonts w:ascii="Calibri" w:hAnsi="Calibri" w:cs="Calibri"/>
          <w:sz w:val="20"/>
          <w:szCs w:val="20"/>
        </w:rPr>
        <w:tab/>
      </w:r>
      <w:r w:rsidR="00ED5964">
        <w:rPr>
          <w:rFonts w:ascii="Calibri" w:hAnsi="Calibri" w:cs="Calibri"/>
          <w:sz w:val="20"/>
          <w:szCs w:val="20"/>
        </w:rPr>
        <w:tab/>
      </w:r>
      <w:r w:rsidR="00ED5964">
        <w:rPr>
          <w:rFonts w:ascii="Calibri" w:hAnsi="Calibri" w:cs="Calibri"/>
          <w:sz w:val="20"/>
          <w:szCs w:val="20"/>
        </w:rPr>
        <w:tab/>
      </w:r>
      <w:r>
        <w:rPr>
          <w:rFonts w:ascii="Calibri" w:hAnsi="Calibri" w:cs="Calibri"/>
          <w:sz w:val="20"/>
          <w:szCs w:val="20"/>
        </w:rPr>
        <w:tab/>
      </w:r>
      <w:r w:rsidR="0019709E">
        <w:rPr>
          <w:rFonts w:ascii="Calibri" w:hAnsi="Calibri" w:cs="Calibri"/>
          <w:sz w:val="20"/>
          <w:szCs w:val="20"/>
        </w:rPr>
        <w:t>Georgia Zubani</w:t>
      </w:r>
    </w:p>
    <w:p w:rsidR="00ED5964" w:rsidRPr="00F119D7" w:rsidRDefault="00ED5964" w:rsidP="00ED5964">
      <w:pPr>
        <w:pStyle w:val="BodyText"/>
        <w:ind w:left="-284" w:right="-330"/>
        <w:rPr>
          <w:rFonts w:ascii="Calibri" w:hAnsi="Calibri" w:cs="Calibri"/>
          <w:sz w:val="20"/>
          <w:szCs w:val="20"/>
        </w:rPr>
      </w:pPr>
      <w:r w:rsidRPr="00F119D7">
        <w:rPr>
          <w:rFonts w:ascii="Calibri" w:hAnsi="Calibri" w:cs="Calibri"/>
          <w:sz w:val="20"/>
          <w:szCs w:val="20"/>
        </w:rPr>
        <w:t>Mortgage Choice Corporate Affairs</w:t>
      </w:r>
      <w:r w:rsidRPr="00F119D7">
        <w:rPr>
          <w:rFonts w:ascii="Calibri" w:hAnsi="Calibri" w:cs="Calibri"/>
          <w:sz w:val="20"/>
          <w:szCs w:val="20"/>
        </w:rPr>
        <w:tab/>
      </w:r>
      <w:r w:rsidRPr="00F119D7">
        <w:rPr>
          <w:rFonts w:ascii="Calibri" w:hAnsi="Calibri" w:cs="Calibri"/>
          <w:sz w:val="20"/>
          <w:szCs w:val="20"/>
        </w:rPr>
        <w:tab/>
      </w:r>
      <w:r w:rsidRPr="00F119D7">
        <w:rPr>
          <w:rFonts w:ascii="Calibri" w:hAnsi="Calibri" w:cs="Calibri"/>
          <w:sz w:val="20"/>
          <w:szCs w:val="20"/>
        </w:rPr>
        <w:tab/>
      </w:r>
      <w:r w:rsidRPr="00F119D7">
        <w:rPr>
          <w:rFonts w:ascii="Calibri" w:hAnsi="Calibri" w:cs="Calibri"/>
          <w:sz w:val="20"/>
          <w:szCs w:val="20"/>
        </w:rPr>
        <w:tab/>
      </w:r>
      <w:r w:rsidR="00681D9D">
        <w:rPr>
          <w:rFonts w:ascii="Calibri" w:hAnsi="Calibri" w:cs="Calibri"/>
          <w:sz w:val="20"/>
          <w:szCs w:val="20"/>
        </w:rPr>
        <w:t>Mortgage Choice Corporate Affairs</w:t>
      </w:r>
    </w:p>
    <w:p w:rsidR="00ED5964" w:rsidRPr="00F119D7" w:rsidRDefault="00ED5964" w:rsidP="00ED5964">
      <w:pPr>
        <w:pStyle w:val="BodyText"/>
        <w:ind w:left="-284" w:right="-330"/>
        <w:rPr>
          <w:rFonts w:ascii="Calibri" w:hAnsi="Calibri" w:cs="Calibri"/>
          <w:sz w:val="20"/>
          <w:szCs w:val="20"/>
        </w:rPr>
      </w:pPr>
      <w:r w:rsidRPr="00F119D7">
        <w:rPr>
          <w:rFonts w:ascii="Calibri" w:hAnsi="Calibri" w:cs="Calibri"/>
          <w:sz w:val="20"/>
          <w:szCs w:val="20"/>
        </w:rPr>
        <w:t>(0</w:t>
      </w:r>
      <w:r w:rsidR="00681D9D">
        <w:rPr>
          <w:rFonts w:ascii="Calibri" w:hAnsi="Calibri" w:cs="Calibri"/>
          <w:sz w:val="20"/>
          <w:szCs w:val="20"/>
        </w:rPr>
        <w:t>2) 8907 0472 / 0431 717 665</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F119D7">
        <w:rPr>
          <w:rFonts w:ascii="Calibri" w:hAnsi="Calibri" w:cs="Calibri"/>
          <w:sz w:val="20"/>
          <w:szCs w:val="20"/>
        </w:rPr>
        <w:t xml:space="preserve">(02) </w:t>
      </w:r>
      <w:r w:rsidR="0019709E">
        <w:rPr>
          <w:rFonts w:ascii="Calibri" w:hAnsi="Calibri" w:cs="Calibri"/>
          <w:sz w:val="20"/>
          <w:szCs w:val="20"/>
        </w:rPr>
        <w:t>8907 04</w:t>
      </w:r>
      <w:r w:rsidR="007C4CBE">
        <w:rPr>
          <w:rFonts w:ascii="Calibri" w:hAnsi="Calibri" w:cs="Calibri"/>
          <w:sz w:val="20"/>
          <w:szCs w:val="20"/>
        </w:rPr>
        <w:t>07</w:t>
      </w:r>
      <w:r w:rsidR="00681D9D">
        <w:rPr>
          <w:rFonts w:ascii="Calibri" w:hAnsi="Calibri" w:cs="Calibri"/>
          <w:sz w:val="20"/>
          <w:szCs w:val="20"/>
        </w:rPr>
        <w:t xml:space="preserve"> / </w:t>
      </w:r>
      <w:r w:rsidR="0019709E">
        <w:rPr>
          <w:rFonts w:ascii="Calibri" w:hAnsi="Calibri" w:cs="Calibri"/>
          <w:sz w:val="20"/>
          <w:szCs w:val="20"/>
        </w:rPr>
        <w:t>0401</w:t>
      </w:r>
      <w:r w:rsidR="007C4CBE">
        <w:rPr>
          <w:rFonts w:ascii="Calibri" w:hAnsi="Calibri" w:cs="Calibri"/>
          <w:sz w:val="20"/>
          <w:szCs w:val="20"/>
        </w:rPr>
        <w:t xml:space="preserve"> </w:t>
      </w:r>
      <w:r w:rsidR="0019709E">
        <w:rPr>
          <w:rFonts w:ascii="Calibri" w:hAnsi="Calibri" w:cs="Calibri"/>
          <w:sz w:val="20"/>
          <w:szCs w:val="20"/>
        </w:rPr>
        <w:t>417</w:t>
      </w:r>
      <w:r w:rsidR="007C4CBE">
        <w:rPr>
          <w:rFonts w:ascii="Calibri" w:hAnsi="Calibri" w:cs="Calibri"/>
          <w:sz w:val="20"/>
          <w:szCs w:val="20"/>
        </w:rPr>
        <w:t xml:space="preserve"> </w:t>
      </w:r>
      <w:r w:rsidR="0019709E">
        <w:rPr>
          <w:rFonts w:ascii="Calibri" w:hAnsi="Calibri" w:cs="Calibri"/>
          <w:sz w:val="20"/>
          <w:szCs w:val="20"/>
        </w:rPr>
        <w:t>636</w:t>
      </w:r>
    </w:p>
    <w:bookmarkStart w:id="0" w:name="_GoBack"/>
    <w:bookmarkEnd w:id="0"/>
    <w:p w:rsidR="00ED5964" w:rsidRPr="00F119D7" w:rsidRDefault="009803F2" w:rsidP="00ED5964">
      <w:pPr>
        <w:autoSpaceDE w:val="0"/>
        <w:autoSpaceDN w:val="0"/>
        <w:adjustRightInd w:val="0"/>
        <w:spacing w:after="0"/>
        <w:ind w:left="-284" w:right="-330"/>
        <w:jc w:val="both"/>
        <w:rPr>
          <w:rFonts w:cs="Calibri"/>
          <w:iCs/>
          <w:sz w:val="20"/>
          <w:szCs w:val="20"/>
          <w:lang w:val="en-US"/>
        </w:rPr>
      </w:pPr>
      <w:r>
        <w:rPr>
          <w:rFonts w:cs="Calibri"/>
          <w:sz w:val="20"/>
          <w:szCs w:val="20"/>
        </w:rPr>
        <w:fldChar w:fldCharType="begin"/>
      </w:r>
      <w:r>
        <w:rPr>
          <w:rFonts w:cs="Calibri"/>
          <w:sz w:val="20"/>
          <w:szCs w:val="20"/>
        </w:rPr>
        <w:instrText xml:space="preserve"> HYPERLINK "mailto:</w:instrText>
      </w:r>
      <w:r w:rsidRPr="009803F2">
        <w:rPr>
          <w:rFonts w:cs="Calibri"/>
          <w:sz w:val="20"/>
          <w:szCs w:val="20"/>
        </w:rPr>
        <w:instrText>jessica.darnbrough@mortgagechoice.com.au</w:instrText>
      </w:r>
      <w:r>
        <w:rPr>
          <w:rFonts w:cs="Calibri"/>
          <w:sz w:val="20"/>
          <w:szCs w:val="20"/>
        </w:rPr>
        <w:instrText xml:space="preserve">" </w:instrText>
      </w:r>
      <w:r>
        <w:rPr>
          <w:rFonts w:cs="Calibri"/>
          <w:sz w:val="20"/>
          <w:szCs w:val="20"/>
        </w:rPr>
        <w:fldChar w:fldCharType="separate"/>
      </w:r>
      <w:r w:rsidRPr="000A3EF7">
        <w:rPr>
          <w:rStyle w:val="Hyperlink"/>
          <w:rFonts w:cs="Calibri"/>
          <w:sz w:val="20"/>
          <w:szCs w:val="20"/>
        </w:rPr>
        <w:t>jessica.darnbrough@mortgagechoice.com.au</w:t>
      </w:r>
      <w:r>
        <w:rPr>
          <w:rFonts w:cs="Calibri"/>
          <w:sz w:val="20"/>
          <w:szCs w:val="20"/>
        </w:rPr>
        <w:fldChar w:fldCharType="end"/>
      </w:r>
      <w:r w:rsidR="00ED5964" w:rsidRPr="00F119D7">
        <w:rPr>
          <w:rFonts w:cs="Calibri"/>
          <w:sz w:val="20"/>
          <w:szCs w:val="20"/>
        </w:rPr>
        <w:t xml:space="preserve"> </w:t>
      </w:r>
      <w:r w:rsidR="00ED5964" w:rsidRPr="00F119D7">
        <w:rPr>
          <w:rFonts w:cs="Calibri"/>
          <w:sz w:val="20"/>
          <w:szCs w:val="20"/>
        </w:rPr>
        <w:tab/>
      </w:r>
      <w:r w:rsidR="00ED5964" w:rsidRPr="00F119D7">
        <w:rPr>
          <w:rFonts w:cs="Calibri"/>
          <w:color w:val="000000"/>
          <w:sz w:val="20"/>
          <w:szCs w:val="20"/>
        </w:rPr>
        <w:tab/>
      </w:r>
      <w:r w:rsidR="00ED5964" w:rsidRPr="00F119D7">
        <w:rPr>
          <w:rFonts w:cs="Calibri"/>
          <w:color w:val="000000"/>
          <w:sz w:val="20"/>
          <w:szCs w:val="20"/>
        </w:rPr>
        <w:tab/>
      </w:r>
      <w:hyperlink r:id="rId9" w:history="1">
        <w:r w:rsidR="007C4CBE" w:rsidRPr="00B0756E">
          <w:rPr>
            <w:rStyle w:val="Hyperlink"/>
            <w:rFonts w:cs="Calibri"/>
            <w:sz w:val="20"/>
            <w:szCs w:val="20"/>
          </w:rPr>
          <w:t>georgia.zubani@mortgagechoice.com.au</w:t>
        </w:r>
      </w:hyperlink>
      <w:r w:rsidR="00681D9D">
        <w:rPr>
          <w:rFonts w:cs="Calibri"/>
          <w:sz w:val="20"/>
          <w:szCs w:val="20"/>
        </w:rPr>
        <w:t xml:space="preserve"> </w:t>
      </w:r>
      <w:r w:rsidR="00ED5964" w:rsidRPr="00F119D7">
        <w:rPr>
          <w:rFonts w:cs="Calibri"/>
          <w:sz w:val="20"/>
          <w:szCs w:val="20"/>
        </w:rPr>
        <w:t xml:space="preserve">  </w:t>
      </w:r>
      <w:r w:rsidR="00ED5964" w:rsidRPr="00F119D7">
        <w:rPr>
          <w:rFonts w:cs="Calibri"/>
          <w:color w:val="000000"/>
          <w:sz w:val="20"/>
          <w:szCs w:val="20"/>
        </w:rPr>
        <w:t xml:space="preserve"> </w:t>
      </w:r>
    </w:p>
    <w:p w:rsidR="00A34766" w:rsidRDefault="00A34766" w:rsidP="00A34766">
      <w:pPr>
        <w:pStyle w:val="BodyText"/>
        <w:ind w:right="-330"/>
        <w:rPr>
          <w:rFonts w:ascii="Calibri" w:hAnsi="Calibri" w:cs="Calibri"/>
          <w:b/>
          <w:sz w:val="20"/>
          <w:szCs w:val="20"/>
          <w:u w:val="single"/>
        </w:rPr>
      </w:pPr>
    </w:p>
    <w:p w:rsidR="00681D9D" w:rsidRDefault="00681D9D" w:rsidP="00DC60B9">
      <w:pPr>
        <w:autoSpaceDE w:val="0"/>
        <w:autoSpaceDN w:val="0"/>
        <w:adjustRightInd w:val="0"/>
        <w:spacing w:after="0"/>
        <w:ind w:left="-284" w:right="-330"/>
        <w:jc w:val="both"/>
        <w:rPr>
          <w:rFonts w:cs="Calibri"/>
          <w:b/>
          <w:sz w:val="20"/>
          <w:szCs w:val="20"/>
          <w:u w:val="single"/>
        </w:rPr>
      </w:pPr>
    </w:p>
    <w:p w:rsidR="0019709E" w:rsidRDefault="0019709E" w:rsidP="00DC60B9">
      <w:pPr>
        <w:autoSpaceDE w:val="0"/>
        <w:autoSpaceDN w:val="0"/>
        <w:adjustRightInd w:val="0"/>
        <w:spacing w:after="0"/>
        <w:ind w:left="-284" w:right="-330"/>
        <w:jc w:val="both"/>
        <w:rPr>
          <w:rFonts w:cs="Calibri"/>
          <w:b/>
          <w:sz w:val="20"/>
          <w:szCs w:val="20"/>
          <w:u w:val="single"/>
        </w:rPr>
      </w:pPr>
    </w:p>
    <w:p w:rsidR="0019709E" w:rsidRDefault="0019709E" w:rsidP="00DC60B9">
      <w:pPr>
        <w:autoSpaceDE w:val="0"/>
        <w:autoSpaceDN w:val="0"/>
        <w:adjustRightInd w:val="0"/>
        <w:spacing w:after="0"/>
        <w:ind w:left="-284" w:right="-330"/>
        <w:jc w:val="both"/>
        <w:rPr>
          <w:rFonts w:cs="Calibri"/>
          <w:b/>
          <w:sz w:val="20"/>
          <w:szCs w:val="20"/>
          <w:u w:val="single"/>
        </w:rPr>
      </w:pPr>
    </w:p>
    <w:p w:rsidR="00F119D7" w:rsidRPr="00F119D7" w:rsidRDefault="00F119D7" w:rsidP="00DC60B9">
      <w:pPr>
        <w:autoSpaceDE w:val="0"/>
        <w:autoSpaceDN w:val="0"/>
        <w:adjustRightInd w:val="0"/>
        <w:spacing w:after="0"/>
        <w:ind w:left="-284" w:right="-330"/>
        <w:jc w:val="both"/>
        <w:rPr>
          <w:rFonts w:cs="Calibri"/>
          <w:b/>
          <w:sz w:val="20"/>
          <w:szCs w:val="20"/>
          <w:u w:val="single"/>
        </w:rPr>
      </w:pPr>
      <w:r w:rsidRPr="00F119D7">
        <w:rPr>
          <w:rFonts w:cs="Calibri"/>
          <w:b/>
          <w:sz w:val="20"/>
          <w:szCs w:val="20"/>
          <w:u w:val="single"/>
        </w:rPr>
        <w:t>Important information</w:t>
      </w:r>
    </w:p>
    <w:p w:rsidR="00F119D7" w:rsidRPr="00F119D7" w:rsidRDefault="00F119D7" w:rsidP="00DC60B9">
      <w:pPr>
        <w:autoSpaceDE w:val="0"/>
        <w:autoSpaceDN w:val="0"/>
        <w:adjustRightInd w:val="0"/>
        <w:spacing w:after="0"/>
        <w:ind w:left="-284" w:right="-330"/>
        <w:jc w:val="both"/>
        <w:rPr>
          <w:rFonts w:cs="Calibri"/>
          <w:sz w:val="20"/>
          <w:szCs w:val="20"/>
        </w:rPr>
      </w:pPr>
      <w:r w:rsidRPr="00F119D7">
        <w:rPr>
          <w:rFonts w:cs="Calibri"/>
          <w:sz w:val="20"/>
          <w:szCs w:val="20"/>
        </w:rPr>
        <w:t>This article is for general information purposes only. It has been prepared without considering your objectives, financial situation or needs. You should, before acting on the advice, consider its appropriateness to your circumstances.</w:t>
      </w:r>
    </w:p>
    <w:p w:rsidR="00F119D7" w:rsidRPr="00F119D7" w:rsidRDefault="00F119D7" w:rsidP="00DC60B9">
      <w:pPr>
        <w:autoSpaceDE w:val="0"/>
        <w:autoSpaceDN w:val="0"/>
        <w:adjustRightInd w:val="0"/>
        <w:spacing w:after="0"/>
        <w:ind w:left="-284" w:right="-330"/>
        <w:jc w:val="both"/>
        <w:rPr>
          <w:rFonts w:cs="Calibri"/>
          <w:sz w:val="20"/>
          <w:szCs w:val="20"/>
        </w:rPr>
      </w:pPr>
    </w:p>
    <w:p w:rsidR="00F119D7" w:rsidRPr="00F119D7" w:rsidRDefault="00F119D7" w:rsidP="00DC60B9">
      <w:pPr>
        <w:autoSpaceDE w:val="0"/>
        <w:autoSpaceDN w:val="0"/>
        <w:adjustRightInd w:val="0"/>
        <w:spacing w:after="0"/>
        <w:ind w:left="-284" w:right="-330"/>
        <w:jc w:val="both"/>
        <w:rPr>
          <w:rFonts w:cs="Calibri"/>
          <w:sz w:val="20"/>
          <w:szCs w:val="20"/>
        </w:rPr>
      </w:pPr>
      <w:r w:rsidRPr="00F119D7">
        <w:rPr>
          <w:rFonts w:cs="Calibri"/>
          <w:b/>
          <w:sz w:val="20"/>
          <w:szCs w:val="20"/>
          <w:u w:val="single"/>
        </w:rPr>
        <w:t>About Mortgage Choice</w:t>
      </w:r>
    </w:p>
    <w:p w:rsidR="002175E8" w:rsidRPr="00F119D7" w:rsidRDefault="00F119D7" w:rsidP="00DC60B9">
      <w:pPr>
        <w:spacing w:after="0"/>
        <w:ind w:left="-284" w:right="-330"/>
        <w:jc w:val="both"/>
        <w:rPr>
          <w:rFonts w:cs="Calibri"/>
          <w:sz w:val="20"/>
          <w:szCs w:val="20"/>
          <w:lang w:val="en-US" w:eastAsia="en-AU"/>
        </w:rPr>
      </w:pPr>
      <w:r w:rsidRPr="00F119D7">
        <w:rPr>
          <w:rFonts w:cs="Calibri"/>
          <w:sz w:val="20"/>
          <w:szCs w:val="20"/>
          <w:lang w:val="en-US" w:eastAsia="en-AU"/>
        </w:rPr>
        <w:t>Mortgage Choice is an ASX listed company that seeks to help Australians with all of their financial needs.</w:t>
      </w:r>
    </w:p>
    <w:p w:rsidR="00F119D7" w:rsidRPr="00F119D7" w:rsidRDefault="00F119D7" w:rsidP="00DC60B9">
      <w:pPr>
        <w:spacing w:after="0"/>
        <w:ind w:left="-284" w:right="-330"/>
        <w:jc w:val="both"/>
        <w:rPr>
          <w:rFonts w:cs="Calibri"/>
          <w:sz w:val="20"/>
          <w:szCs w:val="20"/>
          <w:lang w:val="en-US" w:eastAsia="en-AU"/>
        </w:rPr>
      </w:pPr>
      <w:r w:rsidRPr="00F119D7">
        <w:rPr>
          <w:rFonts w:cs="Calibri"/>
          <w:sz w:val="20"/>
          <w:szCs w:val="20"/>
          <w:lang w:val="en-US" w:eastAsia="en-AU"/>
        </w:rPr>
        <w:t>Established in 1992, Mortgage Choice was originally established to help Australians improve their financial situation by offering a choice of home loan providers, coupled with the expert advice of a mortgage professional.</w:t>
      </w:r>
    </w:p>
    <w:p w:rsidR="00F119D7" w:rsidRPr="00F119D7" w:rsidRDefault="00F119D7" w:rsidP="00DC60B9">
      <w:pPr>
        <w:spacing w:after="0"/>
        <w:ind w:left="-284" w:right="-330"/>
        <w:jc w:val="both"/>
        <w:rPr>
          <w:rFonts w:cs="Calibri"/>
          <w:sz w:val="20"/>
          <w:szCs w:val="20"/>
          <w:lang w:val="en-US" w:eastAsia="en-AU"/>
        </w:rPr>
      </w:pPr>
      <w:r w:rsidRPr="00F119D7">
        <w:rPr>
          <w:rFonts w:cs="Calibri"/>
          <w:sz w:val="20"/>
          <w:szCs w:val="20"/>
          <w:lang w:val="en-US" w:eastAsia="en-AU"/>
        </w:rPr>
        <w:t>Since that time, the company has grown and developed into a fully fledged financial services provider.</w:t>
      </w:r>
    </w:p>
    <w:p w:rsidR="00F119D7" w:rsidRPr="00F119D7" w:rsidRDefault="00F119D7" w:rsidP="00DC60B9">
      <w:pPr>
        <w:spacing w:after="0"/>
        <w:ind w:left="-284" w:right="-330"/>
        <w:jc w:val="both"/>
        <w:rPr>
          <w:rFonts w:cs="Calibri"/>
          <w:sz w:val="20"/>
          <w:szCs w:val="20"/>
          <w:lang w:val="en-US" w:eastAsia="en-AU"/>
        </w:rPr>
      </w:pPr>
      <w:r w:rsidRPr="00F119D7">
        <w:rPr>
          <w:rFonts w:cs="Calibri"/>
          <w:sz w:val="20"/>
          <w:szCs w:val="20"/>
          <w:lang w:val="en-US" w:eastAsia="en-AU"/>
        </w:rPr>
        <w:t>Today, Mortgage Choice helps customers source car loans, personal loans, credit cards, commercial loans, asset finance, deposit bonds, and risk and general insurance.</w:t>
      </w:r>
    </w:p>
    <w:p w:rsidR="00F119D7" w:rsidRPr="00F119D7" w:rsidRDefault="00F119D7" w:rsidP="00DC60B9">
      <w:pPr>
        <w:spacing w:after="0"/>
        <w:ind w:left="-284" w:right="-330"/>
        <w:jc w:val="both"/>
        <w:rPr>
          <w:rFonts w:cs="Calibri"/>
          <w:sz w:val="20"/>
          <w:szCs w:val="20"/>
          <w:lang w:val="en-US" w:eastAsia="en-AU"/>
        </w:rPr>
      </w:pPr>
      <w:r w:rsidRPr="00F119D7">
        <w:rPr>
          <w:rFonts w:cs="Calibri"/>
          <w:sz w:val="20"/>
          <w:szCs w:val="20"/>
          <w:lang w:val="en-US" w:eastAsia="en-AU"/>
        </w:rPr>
        <w:t>Further, the company offers Australians access to real, relevant and affordable financial advice through our qualified financial advisers.</w:t>
      </w:r>
    </w:p>
    <w:p w:rsidR="00F119D7" w:rsidRPr="00F119D7" w:rsidRDefault="00F119D7" w:rsidP="00DC60B9">
      <w:pPr>
        <w:spacing w:after="0"/>
        <w:ind w:left="-284" w:right="-330"/>
        <w:jc w:val="both"/>
        <w:rPr>
          <w:rFonts w:cs="Calibri"/>
          <w:sz w:val="20"/>
          <w:szCs w:val="20"/>
          <w:lang w:val="en-US" w:eastAsia="en-AU"/>
        </w:rPr>
      </w:pPr>
      <w:r w:rsidRPr="00F119D7">
        <w:rPr>
          <w:rFonts w:cs="Calibri"/>
          <w:sz w:val="20"/>
          <w:szCs w:val="20"/>
          <w:lang w:val="en-US" w:eastAsia="en-AU"/>
        </w:rPr>
        <w:t>Mortgage Choice has no balance sheet or funding risk, and consistently delivers strong profits and attractive yields. It listed on the ASX in 2004 (MOC) and is a member of the Mortgage &amp; Finance Association of Australia (MFAA).</w:t>
      </w:r>
    </w:p>
    <w:p w:rsidR="00F119D7" w:rsidRPr="00F119D7" w:rsidRDefault="00F119D7" w:rsidP="00DC60B9">
      <w:pPr>
        <w:spacing w:after="0"/>
        <w:ind w:left="-284" w:right="-330"/>
        <w:jc w:val="both"/>
        <w:rPr>
          <w:rFonts w:cs="Calibri"/>
          <w:sz w:val="20"/>
          <w:szCs w:val="20"/>
          <w:lang w:val="en-US" w:eastAsia="en-AU"/>
        </w:rPr>
      </w:pPr>
      <w:r w:rsidRPr="00F119D7">
        <w:rPr>
          <w:rFonts w:cs="Calibri"/>
          <w:sz w:val="20"/>
          <w:szCs w:val="20"/>
          <w:lang w:val="en-US" w:eastAsia="en-AU"/>
        </w:rPr>
        <w:t>Mortgage Choice holds an Australian Credit Licence: no. 382869 and Mortgage Choice Financial Planning Pty Limited holds an Australian Financial Services Licence: no. 422854. Both licences are issued by ASIC.</w:t>
      </w:r>
    </w:p>
    <w:p w:rsidR="00A52A9B" w:rsidRPr="002175E8" w:rsidRDefault="00A52A9B" w:rsidP="00DC60B9">
      <w:pPr>
        <w:spacing w:after="0"/>
        <w:ind w:left="-284" w:right="-330"/>
        <w:jc w:val="both"/>
        <w:rPr>
          <w:rFonts w:cs="Calibri"/>
          <w:sz w:val="20"/>
          <w:szCs w:val="20"/>
          <w:lang w:val="en-US" w:eastAsia="en-AU"/>
        </w:rPr>
      </w:pPr>
      <w:r w:rsidRPr="00F119D7">
        <w:rPr>
          <w:rFonts w:cs="Calibri"/>
          <w:sz w:val="20"/>
          <w:szCs w:val="20"/>
          <w:lang w:val="en-US" w:eastAsia="en-AU"/>
        </w:rPr>
        <w:t xml:space="preserve">Recent recognition: </w:t>
      </w:r>
      <w:r>
        <w:rPr>
          <w:rFonts w:cs="Calibri"/>
          <w:sz w:val="20"/>
          <w:szCs w:val="20"/>
          <w:lang w:val="en-US" w:eastAsia="en-AU"/>
        </w:rPr>
        <w:t xml:space="preserve">2014 Australian Broking Awards </w:t>
      </w:r>
      <w:r>
        <w:rPr>
          <w:rFonts w:cs="Calibri"/>
          <w:i/>
          <w:sz w:val="20"/>
          <w:szCs w:val="20"/>
          <w:lang w:val="en-US" w:eastAsia="en-AU"/>
        </w:rPr>
        <w:t xml:space="preserve">Best Diversification Program; </w:t>
      </w:r>
      <w:r w:rsidRPr="00F119D7">
        <w:rPr>
          <w:rFonts w:cs="Calibri"/>
          <w:sz w:val="20"/>
          <w:szCs w:val="20"/>
          <w:lang w:val="en-US" w:eastAsia="en-AU"/>
        </w:rPr>
        <w:t xml:space="preserve">2013, 2012, 2011 Australian Broking Awards </w:t>
      </w:r>
      <w:r w:rsidRPr="00FF7BDC">
        <w:rPr>
          <w:rFonts w:cs="Calibri"/>
          <w:i/>
          <w:sz w:val="20"/>
          <w:szCs w:val="20"/>
          <w:lang w:val="en-US" w:eastAsia="en-AU"/>
        </w:rPr>
        <w:t>Major Brokerage of the Year – Franchise</w:t>
      </w:r>
      <w:r w:rsidRPr="00F119D7">
        <w:rPr>
          <w:rFonts w:cs="Calibri"/>
          <w:sz w:val="20"/>
          <w:szCs w:val="20"/>
          <w:lang w:val="en-US" w:eastAsia="en-AU"/>
        </w:rPr>
        <w:t xml:space="preserve">; 2013, 2012 Australian Broking Awards </w:t>
      </w:r>
      <w:r w:rsidRPr="00FF7BDC">
        <w:rPr>
          <w:rFonts w:cs="Calibri"/>
          <w:i/>
          <w:sz w:val="20"/>
          <w:szCs w:val="20"/>
          <w:lang w:val="en-US" w:eastAsia="en-AU"/>
        </w:rPr>
        <w:t>Best Ethical/Social Responsibility Program</w:t>
      </w:r>
      <w:r w:rsidRPr="00F119D7">
        <w:rPr>
          <w:rFonts w:cs="Calibri"/>
          <w:sz w:val="20"/>
          <w:szCs w:val="20"/>
          <w:lang w:val="en-US" w:eastAsia="en-AU"/>
        </w:rPr>
        <w:t xml:space="preserve">; 2012 Australian Broking Awards </w:t>
      </w:r>
      <w:r w:rsidRPr="00FF7BDC">
        <w:rPr>
          <w:rFonts w:cs="Calibri"/>
          <w:i/>
          <w:sz w:val="20"/>
          <w:szCs w:val="20"/>
          <w:lang w:val="en-US" w:eastAsia="en-AU"/>
        </w:rPr>
        <w:t>Best Training and Education</w:t>
      </w:r>
      <w:r w:rsidRPr="00F119D7">
        <w:rPr>
          <w:rFonts w:cs="Calibri"/>
          <w:sz w:val="20"/>
          <w:szCs w:val="20"/>
          <w:lang w:val="en-US" w:eastAsia="en-AU"/>
        </w:rPr>
        <w:t xml:space="preserve">;   No.1 on The Adviser magazine’s 2012, 2011, 2010 and 2009 </w:t>
      </w:r>
      <w:r w:rsidRPr="00FF7BDC">
        <w:rPr>
          <w:rFonts w:cs="Calibri"/>
          <w:i/>
          <w:sz w:val="20"/>
          <w:szCs w:val="20"/>
          <w:lang w:val="en-US" w:eastAsia="en-AU"/>
        </w:rPr>
        <w:t>Top 25 Brokerages</w:t>
      </w:r>
      <w:r w:rsidRPr="00F119D7">
        <w:rPr>
          <w:rFonts w:cs="Calibri"/>
          <w:sz w:val="20"/>
          <w:szCs w:val="20"/>
          <w:lang w:val="en-US" w:eastAsia="en-AU"/>
        </w:rPr>
        <w:t xml:space="preserve"> list; 2012, 2010, 2009, 2008, 2006 and 2005 MFAA Awards </w:t>
      </w:r>
      <w:r w:rsidRPr="00FF7BDC">
        <w:rPr>
          <w:rFonts w:cs="Calibri"/>
          <w:i/>
          <w:sz w:val="20"/>
          <w:szCs w:val="20"/>
          <w:lang w:val="en-US" w:eastAsia="en-AU"/>
        </w:rPr>
        <w:t>Retail Aggregator/Originator of the Year</w:t>
      </w:r>
      <w:r w:rsidRPr="00F119D7">
        <w:rPr>
          <w:rFonts w:cs="Calibri"/>
          <w:sz w:val="20"/>
          <w:szCs w:val="20"/>
          <w:lang w:val="en-US" w:eastAsia="en-AU"/>
        </w:rPr>
        <w:t xml:space="preserve">; 2011, 2010, 2009 and 2008 10 Thousand FEET </w:t>
      </w:r>
      <w:r w:rsidRPr="00FF7BDC">
        <w:rPr>
          <w:rFonts w:cs="Calibri"/>
          <w:i/>
          <w:sz w:val="20"/>
          <w:szCs w:val="20"/>
          <w:lang w:val="en-US" w:eastAsia="en-AU"/>
        </w:rPr>
        <w:t>Top 10 Franchise list</w:t>
      </w:r>
      <w:r w:rsidRPr="00F119D7">
        <w:rPr>
          <w:rFonts w:cs="Calibri"/>
          <w:sz w:val="20"/>
          <w:szCs w:val="20"/>
          <w:lang w:val="en-US" w:eastAsia="en-AU"/>
        </w:rPr>
        <w:t xml:space="preserve">; 2010 Forbes Asia-Pacific </w:t>
      </w:r>
      <w:r w:rsidRPr="00FF7BDC">
        <w:rPr>
          <w:rFonts w:cs="Calibri"/>
          <w:i/>
          <w:sz w:val="20"/>
          <w:szCs w:val="20"/>
          <w:lang w:val="en-US" w:eastAsia="en-AU"/>
        </w:rPr>
        <w:t>Best Under A Billion list</w:t>
      </w:r>
      <w:r w:rsidRPr="00F119D7">
        <w:rPr>
          <w:rFonts w:cs="Calibri"/>
          <w:sz w:val="20"/>
          <w:szCs w:val="20"/>
          <w:lang w:val="en-US" w:eastAsia="en-AU"/>
        </w:rPr>
        <w:t>.</w:t>
      </w:r>
    </w:p>
    <w:p w:rsidR="00F119D7" w:rsidRPr="00F119D7" w:rsidRDefault="00F119D7" w:rsidP="00DC60B9">
      <w:pPr>
        <w:spacing w:after="0"/>
        <w:ind w:left="-284" w:right="-330"/>
        <w:jc w:val="both"/>
        <w:rPr>
          <w:rFonts w:cs="Arial"/>
          <w:sz w:val="20"/>
          <w:szCs w:val="20"/>
        </w:rPr>
      </w:pPr>
      <w:r w:rsidRPr="00F119D7">
        <w:rPr>
          <w:rFonts w:cs="Arial"/>
          <w:sz w:val="20"/>
          <w:szCs w:val="20"/>
          <w:lang w:val="en-US"/>
        </w:rPr>
        <w:t xml:space="preserve">Visit </w:t>
      </w:r>
      <w:hyperlink r:id="rId10" w:tgtFrame="_blank" w:history="1">
        <w:r w:rsidRPr="00F119D7">
          <w:rPr>
            <w:rStyle w:val="Hyperlink"/>
            <w:rFonts w:cs="Arial"/>
            <w:sz w:val="20"/>
            <w:szCs w:val="20"/>
            <w:lang w:val="en-US"/>
          </w:rPr>
          <w:t>www.mortgagechoice.com.au</w:t>
        </w:r>
      </w:hyperlink>
      <w:r w:rsidRPr="00F119D7">
        <w:rPr>
          <w:rFonts w:cs="Arial"/>
          <w:sz w:val="20"/>
          <w:szCs w:val="20"/>
          <w:lang w:val="en-US"/>
        </w:rPr>
        <w:t xml:space="preserve"> or call customer service on 13 6678.</w:t>
      </w:r>
    </w:p>
    <w:p w:rsidR="00F119D7" w:rsidRDefault="00F119D7" w:rsidP="00DC60B9">
      <w:pPr>
        <w:pStyle w:val="Heading6"/>
        <w:ind w:left="-284" w:right="-330"/>
        <w:jc w:val="both"/>
        <w:rPr>
          <w:i/>
          <w:iCs/>
          <w:color w:val="auto"/>
          <w:sz w:val="20"/>
          <w:szCs w:val="20"/>
        </w:rPr>
      </w:pPr>
    </w:p>
    <w:p w:rsidR="00DD35A1" w:rsidRPr="00DD35A1" w:rsidRDefault="00DD35A1" w:rsidP="00DD35A1">
      <w:pPr>
        <w:rPr>
          <w:lang w:val="en-US"/>
        </w:rPr>
      </w:pPr>
    </w:p>
    <w:sectPr w:rsidR="00DD35A1" w:rsidRPr="00DD35A1" w:rsidSect="008D4C81">
      <w:headerReference w:type="default" r:id="rId11"/>
      <w:footerReference w:type="default" r:id="rId12"/>
      <w:pgSz w:w="11906" w:h="16838"/>
      <w:pgMar w:top="1553" w:right="1440" w:bottom="851" w:left="1440" w:header="708" w:footer="5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849" w:rsidRDefault="00B76849" w:rsidP="00EB2013">
      <w:pPr>
        <w:spacing w:after="0" w:line="240" w:lineRule="auto"/>
      </w:pPr>
      <w:r>
        <w:separator/>
      </w:r>
    </w:p>
  </w:endnote>
  <w:endnote w:type="continuationSeparator" w:id="0">
    <w:p w:rsidR="00B76849" w:rsidRDefault="00B76849" w:rsidP="00EB2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001" w:rsidRDefault="002B5001" w:rsidP="00EB2013">
    <w:pPr>
      <w:pStyle w:val="Footer"/>
      <w:pBdr>
        <w:top w:val="single" w:sz="4" w:space="1" w:color="007491"/>
      </w:pBdr>
      <w:jc w:val="right"/>
    </w:pPr>
  </w:p>
  <w:p w:rsidR="002B5001" w:rsidRDefault="002B5001" w:rsidP="00EB2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849" w:rsidRDefault="00B76849" w:rsidP="00EB2013">
      <w:pPr>
        <w:spacing w:after="0" w:line="240" w:lineRule="auto"/>
      </w:pPr>
      <w:r>
        <w:separator/>
      </w:r>
    </w:p>
  </w:footnote>
  <w:footnote w:type="continuationSeparator" w:id="0">
    <w:p w:rsidR="00B76849" w:rsidRDefault="00B76849" w:rsidP="00EB20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001" w:rsidRDefault="000C37FA" w:rsidP="00741FB8">
    <w:pPr>
      <w:pStyle w:val="Header"/>
      <w:tabs>
        <w:tab w:val="clear" w:pos="9026"/>
        <w:tab w:val="right" w:pos="9639"/>
      </w:tabs>
      <w:ind w:right="-613"/>
      <w:jc w:val="right"/>
    </w:pPr>
    <w:r w:rsidRPr="00246E05">
      <w:rPr>
        <w:rFonts w:ascii="Verdana" w:hAnsi="Verdana"/>
        <w:b/>
        <w:noProof/>
        <w:sz w:val="28"/>
        <w:szCs w:val="28"/>
        <w:lang w:eastAsia="en-AU"/>
      </w:rPr>
      <w:drawing>
        <wp:inline distT="0" distB="0" distL="0" distR="0">
          <wp:extent cx="2266950" cy="857250"/>
          <wp:effectExtent l="0" t="0" r="0" b="0"/>
          <wp:docPr id="5" name="Picture 5" descr="MC_Logo_Word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_Logo_Word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857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13"/>
    <w:rsid w:val="00005BF7"/>
    <w:rsid w:val="00016BB2"/>
    <w:rsid w:val="00026CEB"/>
    <w:rsid w:val="00043D2A"/>
    <w:rsid w:val="00044887"/>
    <w:rsid w:val="00052BD9"/>
    <w:rsid w:val="00072374"/>
    <w:rsid w:val="000807C2"/>
    <w:rsid w:val="00084BDD"/>
    <w:rsid w:val="000A79B9"/>
    <w:rsid w:val="000C37FA"/>
    <w:rsid w:val="000C4797"/>
    <w:rsid w:val="00100095"/>
    <w:rsid w:val="001010FC"/>
    <w:rsid w:val="001314B1"/>
    <w:rsid w:val="00134CEB"/>
    <w:rsid w:val="00157A0B"/>
    <w:rsid w:val="00164C1F"/>
    <w:rsid w:val="00180EB6"/>
    <w:rsid w:val="00184593"/>
    <w:rsid w:val="0019709E"/>
    <w:rsid w:val="001A386B"/>
    <w:rsid w:val="001C1234"/>
    <w:rsid w:val="001C6B17"/>
    <w:rsid w:val="001D0E40"/>
    <w:rsid w:val="001E5144"/>
    <w:rsid w:val="001F17A8"/>
    <w:rsid w:val="001F2B9E"/>
    <w:rsid w:val="001F2FCF"/>
    <w:rsid w:val="002175E8"/>
    <w:rsid w:val="00230777"/>
    <w:rsid w:val="0023688C"/>
    <w:rsid w:val="002400F9"/>
    <w:rsid w:val="00246E05"/>
    <w:rsid w:val="00252F6E"/>
    <w:rsid w:val="002834B4"/>
    <w:rsid w:val="00284AB2"/>
    <w:rsid w:val="00293D56"/>
    <w:rsid w:val="002A4E48"/>
    <w:rsid w:val="002B5001"/>
    <w:rsid w:val="002B61DA"/>
    <w:rsid w:val="002E0A96"/>
    <w:rsid w:val="002F0953"/>
    <w:rsid w:val="00307B9C"/>
    <w:rsid w:val="003338B0"/>
    <w:rsid w:val="00333DE5"/>
    <w:rsid w:val="00346BB2"/>
    <w:rsid w:val="00354E7F"/>
    <w:rsid w:val="00355DD0"/>
    <w:rsid w:val="0036329E"/>
    <w:rsid w:val="0037476B"/>
    <w:rsid w:val="003A0655"/>
    <w:rsid w:val="003A3018"/>
    <w:rsid w:val="003B6F24"/>
    <w:rsid w:val="003B7517"/>
    <w:rsid w:val="00406D9C"/>
    <w:rsid w:val="00407C74"/>
    <w:rsid w:val="0042667C"/>
    <w:rsid w:val="00432DD9"/>
    <w:rsid w:val="00470B2A"/>
    <w:rsid w:val="0048027E"/>
    <w:rsid w:val="00491B2A"/>
    <w:rsid w:val="004976F7"/>
    <w:rsid w:val="004C214C"/>
    <w:rsid w:val="004E0285"/>
    <w:rsid w:val="004E109B"/>
    <w:rsid w:val="004F652C"/>
    <w:rsid w:val="00510827"/>
    <w:rsid w:val="005315CC"/>
    <w:rsid w:val="005350C7"/>
    <w:rsid w:val="00540A8A"/>
    <w:rsid w:val="005457F6"/>
    <w:rsid w:val="0054689D"/>
    <w:rsid w:val="00554648"/>
    <w:rsid w:val="0057140A"/>
    <w:rsid w:val="00571896"/>
    <w:rsid w:val="00577082"/>
    <w:rsid w:val="005A01A5"/>
    <w:rsid w:val="005A245D"/>
    <w:rsid w:val="005B66F7"/>
    <w:rsid w:val="005D71D2"/>
    <w:rsid w:val="005F4C47"/>
    <w:rsid w:val="006006E7"/>
    <w:rsid w:val="006024BF"/>
    <w:rsid w:val="006047BB"/>
    <w:rsid w:val="0061544A"/>
    <w:rsid w:val="00627C62"/>
    <w:rsid w:val="00635DB8"/>
    <w:rsid w:val="006362D1"/>
    <w:rsid w:val="006658C0"/>
    <w:rsid w:val="00670E3F"/>
    <w:rsid w:val="00676B5F"/>
    <w:rsid w:val="00680CBB"/>
    <w:rsid w:val="00681D9D"/>
    <w:rsid w:val="006A145C"/>
    <w:rsid w:val="006F4897"/>
    <w:rsid w:val="006F7D94"/>
    <w:rsid w:val="00700E32"/>
    <w:rsid w:val="00714242"/>
    <w:rsid w:val="00741FB8"/>
    <w:rsid w:val="00753338"/>
    <w:rsid w:val="007621C0"/>
    <w:rsid w:val="00780BBC"/>
    <w:rsid w:val="007C4CBE"/>
    <w:rsid w:val="007E344F"/>
    <w:rsid w:val="00802017"/>
    <w:rsid w:val="0082046E"/>
    <w:rsid w:val="0082443C"/>
    <w:rsid w:val="00826205"/>
    <w:rsid w:val="00837CF1"/>
    <w:rsid w:val="00842425"/>
    <w:rsid w:val="008546DC"/>
    <w:rsid w:val="00865660"/>
    <w:rsid w:val="00880743"/>
    <w:rsid w:val="00890700"/>
    <w:rsid w:val="008C6BFC"/>
    <w:rsid w:val="008C7593"/>
    <w:rsid w:val="008D0426"/>
    <w:rsid w:val="008D4C81"/>
    <w:rsid w:val="008E58F9"/>
    <w:rsid w:val="008F58BC"/>
    <w:rsid w:val="00916927"/>
    <w:rsid w:val="009253C1"/>
    <w:rsid w:val="0093336F"/>
    <w:rsid w:val="00944CA8"/>
    <w:rsid w:val="00946ADF"/>
    <w:rsid w:val="00963CA4"/>
    <w:rsid w:val="009803F2"/>
    <w:rsid w:val="009A4489"/>
    <w:rsid w:val="009A69B0"/>
    <w:rsid w:val="009B757A"/>
    <w:rsid w:val="009B7593"/>
    <w:rsid w:val="009D1C74"/>
    <w:rsid w:val="009F129F"/>
    <w:rsid w:val="009F1FFE"/>
    <w:rsid w:val="00A06070"/>
    <w:rsid w:val="00A24A1F"/>
    <w:rsid w:val="00A34766"/>
    <w:rsid w:val="00A40BE1"/>
    <w:rsid w:val="00A51C86"/>
    <w:rsid w:val="00A51E84"/>
    <w:rsid w:val="00A5223C"/>
    <w:rsid w:val="00A52A9B"/>
    <w:rsid w:val="00A6604B"/>
    <w:rsid w:val="00A750B7"/>
    <w:rsid w:val="00AA0BE7"/>
    <w:rsid w:val="00AB0437"/>
    <w:rsid w:val="00AD6832"/>
    <w:rsid w:val="00AE6021"/>
    <w:rsid w:val="00AF009F"/>
    <w:rsid w:val="00B025FA"/>
    <w:rsid w:val="00B301F1"/>
    <w:rsid w:val="00B634BC"/>
    <w:rsid w:val="00B76849"/>
    <w:rsid w:val="00B80015"/>
    <w:rsid w:val="00B8094B"/>
    <w:rsid w:val="00BB3723"/>
    <w:rsid w:val="00BC14D2"/>
    <w:rsid w:val="00BC6318"/>
    <w:rsid w:val="00BD1E1E"/>
    <w:rsid w:val="00BD4438"/>
    <w:rsid w:val="00BE1229"/>
    <w:rsid w:val="00BF1C88"/>
    <w:rsid w:val="00BF2560"/>
    <w:rsid w:val="00BF6052"/>
    <w:rsid w:val="00C105EC"/>
    <w:rsid w:val="00C13B1D"/>
    <w:rsid w:val="00C23F1D"/>
    <w:rsid w:val="00C47A76"/>
    <w:rsid w:val="00C8728B"/>
    <w:rsid w:val="00C97DC4"/>
    <w:rsid w:val="00CA6DD6"/>
    <w:rsid w:val="00CC12E0"/>
    <w:rsid w:val="00CE50A9"/>
    <w:rsid w:val="00CE735F"/>
    <w:rsid w:val="00D3454B"/>
    <w:rsid w:val="00D34FCD"/>
    <w:rsid w:val="00D62BED"/>
    <w:rsid w:val="00DA1793"/>
    <w:rsid w:val="00DA73E4"/>
    <w:rsid w:val="00DB310A"/>
    <w:rsid w:val="00DC320E"/>
    <w:rsid w:val="00DC60B9"/>
    <w:rsid w:val="00DD0EF9"/>
    <w:rsid w:val="00DD35A1"/>
    <w:rsid w:val="00DE040A"/>
    <w:rsid w:val="00DE29A2"/>
    <w:rsid w:val="00DE2D0E"/>
    <w:rsid w:val="00DF7D17"/>
    <w:rsid w:val="00E01BB9"/>
    <w:rsid w:val="00E01EA9"/>
    <w:rsid w:val="00E2430F"/>
    <w:rsid w:val="00E30A77"/>
    <w:rsid w:val="00E47FA0"/>
    <w:rsid w:val="00E538F1"/>
    <w:rsid w:val="00E55E37"/>
    <w:rsid w:val="00E56675"/>
    <w:rsid w:val="00E71D97"/>
    <w:rsid w:val="00E8297C"/>
    <w:rsid w:val="00E84DDA"/>
    <w:rsid w:val="00E94A8F"/>
    <w:rsid w:val="00E95658"/>
    <w:rsid w:val="00EB2013"/>
    <w:rsid w:val="00EB62A8"/>
    <w:rsid w:val="00ED22A4"/>
    <w:rsid w:val="00ED5582"/>
    <w:rsid w:val="00ED5964"/>
    <w:rsid w:val="00F117B6"/>
    <w:rsid w:val="00F119D7"/>
    <w:rsid w:val="00F17099"/>
    <w:rsid w:val="00F253AC"/>
    <w:rsid w:val="00F32CBA"/>
    <w:rsid w:val="00F649F0"/>
    <w:rsid w:val="00F74EAE"/>
    <w:rsid w:val="00F910F4"/>
    <w:rsid w:val="00FB00BB"/>
    <w:rsid w:val="00FC0A47"/>
    <w:rsid w:val="00FD10F7"/>
    <w:rsid w:val="00FD277B"/>
    <w:rsid w:val="00FE591C"/>
    <w:rsid w:val="00FF28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E98C2D16-3125-476F-BF13-012BDEF3C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CA4"/>
    <w:pPr>
      <w:spacing w:after="200" w:line="276" w:lineRule="auto"/>
    </w:pPr>
    <w:rPr>
      <w:sz w:val="22"/>
      <w:szCs w:val="22"/>
      <w:lang w:eastAsia="en-US"/>
    </w:rPr>
  </w:style>
  <w:style w:type="paragraph" w:styleId="Heading6">
    <w:name w:val="heading 6"/>
    <w:basedOn w:val="Normal"/>
    <w:next w:val="Normal"/>
    <w:link w:val="Heading6Char"/>
    <w:qFormat/>
    <w:rsid w:val="00F119D7"/>
    <w:pPr>
      <w:keepNext/>
      <w:spacing w:after="0" w:line="240" w:lineRule="auto"/>
      <w:outlineLvl w:val="5"/>
    </w:pPr>
    <w:rPr>
      <w:rFonts w:ascii="Arial" w:eastAsia="Times New Roman" w:hAnsi="Arial" w:cs="Arial"/>
      <w:b/>
      <w:color w:val="000000"/>
      <w:szCs w:val="1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0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013"/>
  </w:style>
  <w:style w:type="paragraph" w:styleId="Footer">
    <w:name w:val="footer"/>
    <w:basedOn w:val="Normal"/>
    <w:link w:val="FooterChar"/>
    <w:uiPriority w:val="99"/>
    <w:unhideWhenUsed/>
    <w:rsid w:val="00EB20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013"/>
  </w:style>
  <w:style w:type="paragraph" w:styleId="BalloonText">
    <w:name w:val="Balloon Text"/>
    <w:basedOn w:val="Normal"/>
    <w:link w:val="BalloonTextChar"/>
    <w:uiPriority w:val="99"/>
    <w:semiHidden/>
    <w:unhideWhenUsed/>
    <w:rsid w:val="00EB20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B2013"/>
    <w:rPr>
      <w:rFonts w:ascii="Tahoma" w:hAnsi="Tahoma" w:cs="Tahoma"/>
      <w:sz w:val="16"/>
      <w:szCs w:val="16"/>
    </w:rPr>
  </w:style>
  <w:style w:type="character" w:customStyle="1" w:styleId="Heading6Char">
    <w:name w:val="Heading 6 Char"/>
    <w:link w:val="Heading6"/>
    <w:rsid w:val="00F119D7"/>
    <w:rPr>
      <w:rFonts w:ascii="Arial" w:eastAsia="Times New Roman" w:hAnsi="Arial" w:cs="Arial"/>
      <w:b/>
      <w:color w:val="000000"/>
      <w:szCs w:val="18"/>
      <w:u w:val="single"/>
      <w:lang w:val="en-US"/>
    </w:rPr>
  </w:style>
  <w:style w:type="character" w:styleId="Hyperlink">
    <w:name w:val="Hyperlink"/>
    <w:semiHidden/>
    <w:rsid w:val="00F119D7"/>
    <w:rPr>
      <w:color w:val="336699"/>
      <w:u w:val="single"/>
    </w:rPr>
  </w:style>
  <w:style w:type="paragraph" w:styleId="BodyText">
    <w:name w:val="Body Text"/>
    <w:basedOn w:val="Normal"/>
    <w:link w:val="BodyTextChar"/>
    <w:semiHidden/>
    <w:rsid w:val="00F119D7"/>
    <w:pPr>
      <w:spacing w:after="0" w:line="240" w:lineRule="auto"/>
      <w:jc w:val="both"/>
    </w:pPr>
    <w:rPr>
      <w:rFonts w:ascii="Times New Roman" w:eastAsia="Times New Roman" w:hAnsi="Times New Roman"/>
      <w:sz w:val="24"/>
      <w:szCs w:val="24"/>
      <w:lang w:val="en-US"/>
    </w:rPr>
  </w:style>
  <w:style w:type="character" w:customStyle="1" w:styleId="BodyTextChar">
    <w:name w:val="Body Text Char"/>
    <w:link w:val="BodyText"/>
    <w:semiHidden/>
    <w:rsid w:val="00F119D7"/>
    <w:rPr>
      <w:rFonts w:ascii="Times New Roman" w:eastAsia="Times New Roman" w:hAnsi="Times New Roman" w:cs="Times New Roman"/>
      <w:sz w:val="24"/>
      <w:szCs w:val="24"/>
      <w:lang w:val="en-US"/>
    </w:rPr>
  </w:style>
  <w:style w:type="paragraph" w:customStyle="1" w:styleId="ColorfulList-Accent11">
    <w:name w:val="Colorful List - Accent 11"/>
    <w:basedOn w:val="Normal"/>
    <w:uiPriority w:val="34"/>
    <w:qFormat/>
    <w:rsid w:val="00F119D7"/>
    <w:pPr>
      <w:ind w:left="720"/>
      <w:contextualSpacing/>
    </w:pPr>
    <w:rPr>
      <w:lang w:val="en-US"/>
    </w:rPr>
  </w:style>
  <w:style w:type="character" w:styleId="FollowedHyperlink">
    <w:name w:val="FollowedHyperlink"/>
    <w:uiPriority w:val="99"/>
    <w:semiHidden/>
    <w:unhideWhenUsed/>
    <w:rsid w:val="00DC60B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rtgagechoice.com.au/about-us/homeloan-choices-newslette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ortgagechoice.com.au/" TargetMode="External"/><Relationship Id="rId4" Type="http://schemas.openxmlformats.org/officeDocument/2006/relationships/webSettings" Target="webSettings.xml"/><Relationship Id="rId9" Type="http://schemas.openxmlformats.org/officeDocument/2006/relationships/hyperlink" Target="mailto:georgia.zubani@mortgagechoice.com.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B65CDC-2145-4F9E-BD29-0638403AC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Mortgage Choice Australia Ltd.</Company>
  <LinksUpToDate>false</LinksUpToDate>
  <CharactersWithSpaces>5912</CharactersWithSpaces>
  <SharedDoc>false</SharedDoc>
  <HLinks>
    <vt:vector size="24" baseType="variant">
      <vt:variant>
        <vt:i4>4259908</vt:i4>
      </vt:variant>
      <vt:variant>
        <vt:i4>9</vt:i4>
      </vt:variant>
      <vt:variant>
        <vt:i4>0</vt:i4>
      </vt:variant>
      <vt:variant>
        <vt:i4>5</vt:i4>
      </vt:variant>
      <vt:variant>
        <vt:lpwstr>http://www.mortgagechoice.com.au/</vt:lpwstr>
      </vt:variant>
      <vt:variant>
        <vt:lpwstr/>
      </vt:variant>
      <vt:variant>
        <vt:i4>6291520</vt:i4>
      </vt:variant>
      <vt:variant>
        <vt:i4>6</vt:i4>
      </vt:variant>
      <vt:variant>
        <vt:i4>0</vt:i4>
      </vt:variant>
      <vt:variant>
        <vt:i4>5</vt:i4>
      </vt:variant>
      <vt:variant>
        <vt:lpwstr>mailto:lauren.booke@mortgagechoice.com.au</vt:lpwstr>
      </vt:variant>
      <vt:variant>
        <vt:lpwstr/>
      </vt:variant>
      <vt:variant>
        <vt:i4>5177468</vt:i4>
      </vt:variant>
      <vt:variant>
        <vt:i4>3</vt:i4>
      </vt:variant>
      <vt:variant>
        <vt:i4>0</vt:i4>
      </vt:variant>
      <vt:variant>
        <vt:i4>5</vt:i4>
      </vt:variant>
      <vt:variant>
        <vt:lpwstr>mailto:jesssica.darnbrough@mortgagechoice.com.au</vt:lpwstr>
      </vt:variant>
      <vt:variant>
        <vt:lpwstr/>
      </vt:variant>
      <vt:variant>
        <vt:i4>1179721</vt:i4>
      </vt:variant>
      <vt:variant>
        <vt:i4>0</vt:i4>
      </vt:variant>
      <vt:variant>
        <vt:i4>0</vt:i4>
      </vt:variant>
      <vt:variant>
        <vt:i4>5</vt:i4>
      </vt:variant>
      <vt:variant>
        <vt:lpwstr>http://www.mortgagechoice.com.au/about-us/homeloan-choices-newsletter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lthompson</dc:creator>
  <cp:keywords/>
  <cp:lastModifiedBy>Georgia Zubani</cp:lastModifiedBy>
  <cp:revision>3</cp:revision>
  <cp:lastPrinted>2015-08-03T03:52:00Z</cp:lastPrinted>
  <dcterms:created xsi:type="dcterms:W3CDTF">2016-08-01T01:21:00Z</dcterms:created>
  <dcterms:modified xsi:type="dcterms:W3CDTF">2016-08-01T02:16:00Z</dcterms:modified>
</cp:coreProperties>
</file>